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5CAEE">
      <w:pPr>
        <w:wordWrap w:val="0"/>
        <w:outlineLvl w:val="3"/>
        <w:rPr>
          <w:rFonts w:ascii="Times New Roman" w:hAnsi="Times New Roman" w:eastAsia="宋体" w:cs="Times New Roman"/>
          <w:b/>
          <w:color w:val="000000"/>
          <w:sz w:val="24"/>
          <w:szCs w:val="24"/>
          <w:highlight w:val="none"/>
        </w:rPr>
      </w:pPr>
      <w:bookmarkStart w:id="1" w:name="_GoBack"/>
      <w:bookmarkEnd w:id="1"/>
      <w:r>
        <w:rPr>
          <w:rFonts w:ascii="Times New Roman" w:hAnsi="Times New Roman" w:eastAsia="宋体" w:cs="Times New Roman"/>
          <w:b/>
          <w:color w:val="000000"/>
          <w:sz w:val="24"/>
          <w:szCs w:val="24"/>
          <w:highlight w:val="none"/>
        </w:rPr>
        <w:t>附件1：</w:t>
      </w:r>
      <w:bookmarkStart w:id="0" w:name="_Toc404712451"/>
      <w:r>
        <w:rPr>
          <w:rFonts w:ascii="Times New Roman" w:hAnsi="Times New Roman" w:eastAsia="宋体" w:cs="Times New Roman"/>
          <w:b/>
          <w:color w:val="000000"/>
          <w:sz w:val="24"/>
          <w:szCs w:val="24"/>
          <w:highlight w:val="none"/>
        </w:rPr>
        <w:t>资格审查条件</w:t>
      </w:r>
      <w:bookmarkEnd w:id="0"/>
    </w:p>
    <w:p w14:paraId="695A6FD5">
      <w:pPr>
        <w:wordWrap w:val="0"/>
        <w:rPr>
          <w:rFonts w:ascii="Times New Roman" w:hAnsi="Times New Roman" w:eastAsia="宋体" w:cs="Times New Roman"/>
          <w:b/>
          <w:color w:val="000000"/>
          <w:sz w:val="28"/>
          <w:szCs w:val="28"/>
          <w:highlight w:val="none"/>
        </w:rPr>
      </w:pPr>
    </w:p>
    <w:p w14:paraId="1B430EA9">
      <w:pPr>
        <w:wordWrap w:val="0"/>
        <w:jc w:val="center"/>
        <w:rPr>
          <w:rFonts w:ascii="Times New Roman" w:hAnsi="Times New Roman" w:eastAsia="宋体" w:cs="Times New Roman"/>
          <w:color w:val="000000"/>
          <w:szCs w:val="22"/>
          <w:highlight w:val="none"/>
        </w:rPr>
      </w:pPr>
      <w:r>
        <w:rPr>
          <w:rFonts w:ascii="Times New Roman" w:hAnsi="Times New Roman" w:eastAsia="宋体" w:cs="Times New Roman"/>
          <w:b/>
          <w:color w:val="000000"/>
          <w:sz w:val="24"/>
          <w:szCs w:val="22"/>
          <w:highlight w:val="none"/>
        </w:rPr>
        <w:t>附录1  资格审查条件（资质最低要求）</w:t>
      </w:r>
    </w:p>
    <w:tbl>
      <w:tblPr>
        <w:tblStyle w:val="4"/>
        <w:tblpPr w:leftFromText="181" w:rightFromText="181" w:vertAnchor="text" w:horzAnchor="margin" w:tblpXSpec="center" w:tblpY="30"/>
        <w:tblW w:w="86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28" w:type="dxa"/>
          <w:bottom w:w="28" w:type="dxa"/>
          <w:right w:w="28" w:type="dxa"/>
        </w:tblCellMar>
      </w:tblPr>
      <w:tblGrid>
        <w:gridCol w:w="8641"/>
      </w:tblGrid>
      <w:tr w14:paraId="54878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42" w:hRule="atLeast"/>
          <w:tblHeader/>
          <w:jc w:val="center"/>
        </w:trPr>
        <w:tc>
          <w:tcPr>
            <w:tcW w:w="8641" w:type="dxa"/>
            <w:tcBorders>
              <w:left w:val="single" w:color="auto" w:sz="4" w:space="0"/>
            </w:tcBorders>
            <w:vAlign w:val="center"/>
          </w:tcPr>
          <w:p w14:paraId="3643452F">
            <w:pPr>
              <w:wordWrap w:val="0"/>
              <w:adjustRightInd w:val="0"/>
              <w:snapToGrid w:val="0"/>
              <w:jc w:val="center"/>
              <w:rPr>
                <w:rFonts w:ascii="Times New Roman" w:hAnsi="Times New Roman" w:eastAsia="宋体" w:cs="Times New Roman"/>
                <w:b/>
                <w:bCs/>
                <w:color w:val="000000"/>
                <w:szCs w:val="21"/>
                <w:highlight w:val="none"/>
              </w:rPr>
            </w:pPr>
            <w:r>
              <w:rPr>
                <w:rFonts w:ascii="Times New Roman" w:hAnsi="Times New Roman" w:eastAsia="宋体" w:cs="Times New Roman"/>
                <w:b/>
                <w:bCs/>
                <w:color w:val="000000"/>
                <w:szCs w:val="21"/>
                <w:highlight w:val="none"/>
              </w:rPr>
              <w:t>资质要求</w:t>
            </w:r>
          </w:p>
        </w:tc>
      </w:tr>
      <w:tr w14:paraId="578A2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12" w:hRule="exact"/>
          <w:jc w:val="center"/>
        </w:trPr>
        <w:tc>
          <w:tcPr>
            <w:tcW w:w="8641" w:type="dxa"/>
            <w:vMerge w:val="restart"/>
            <w:tcBorders>
              <w:left w:val="single" w:color="auto" w:sz="4" w:space="0"/>
            </w:tcBorders>
            <w:vAlign w:val="center"/>
          </w:tcPr>
          <w:p w14:paraId="11B63234">
            <w:pPr>
              <w:adjustRightInd w:val="0"/>
              <w:snapToGrid w:val="0"/>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投标人应为</w:t>
            </w:r>
            <w:r>
              <w:rPr>
                <w:rFonts w:hint="eastAsia" w:ascii="宋体" w:hAnsi="宋体" w:eastAsia="宋体" w:cs="Times New Roman"/>
                <w:color w:val="000000"/>
                <w:szCs w:val="21"/>
                <w:highlight w:val="none"/>
              </w:rPr>
              <w:t>中华人民共和国境内的法人或其他组织，持有有效营业执照的制造商</w:t>
            </w:r>
            <w:r>
              <w:rPr>
                <w:rFonts w:hint="eastAsia" w:ascii="宋体" w:hAnsi="宋体" w:eastAsia="宋体" w:cs="Times New Roman"/>
                <w:color w:val="000000"/>
                <w:szCs w:val="21"/>
                <w:highlight w:val="none"/>
                <w:lang w:eastAsia="zh-CN"/>
              </w:rPr>
              <w:t>。</w:t>
            </w:r>
          </w:p>
        </w:tc>
      </w:tr>
      <w:tr w14:paraId="7BD8C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12" w:hRule="exact"/>
          <w:jc w:val="center"/>
        </w:trPr>
        <w:tc>
          <w:tcPr>
            <w:tcW w:w="8641" w:type="dxa"/>
            <w:vMerge w:val="continue"/>
            <w:tcBorders>
              <w:left w:val="single" w:color="auto" w:sz="4" w:space="0"/>
            </w:tcBorders>
            <w:vAlign w:val="center"/>
          </w:tcPr>
          <w:p w14:paraId="1E8F898A">
            <w:pPr>
              <w:wordWrap w:val="0"/>
              <w:adjustRightInd w:val="0"/>
              <w:snapToGrid w:val="0"/>
              <w:rPr>
                <w:rFonts w:ascii="宋体" w:hAnsi="宋体" w:eastAsia="宋体" w:cs="宋体"/>
                <w:color w:val="000000"/>
                <w:szCs w:val="21"/>
                <w:highlight w:val="none"/>
              </w:rPr>
            </w:pPr>
          </w:p>
        </w:tc>
      </w:tr>
      <w:tr w14:paraId="2F915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12" w:hRule="exact"/>
          <w:jc w:val="center"/>
        </w:trPr>
        <w:tc>
          <w:tcPr>
            <w:tcW w:w="8641" w:type="dxa"/>
            <w:vMerge w:val="continue"/>
            <w:tcBorders>
              <w:left w:val="single" w:color="auto" w:sz="4" w:space="0"/>
            </w:tcBorders>
            <w:vAlign w:val="center"/>
          </w:tcPr>
          <w:p w14:paraId="0FA99F80">
            <w:pPr>
              <w:wordWrap w:val="0"/>
              <w:adjustRightInd w:val="0"/>
              <w:snapToGrid w:val="0"/>
              <w:rPr>
                <w:rFonts w:ascii="宋体" w:hAnsi="宋体" w:eastAsia="宋体" w:cs="宋体"/>
                <w:color w:val="000000"/>
                <w:szCs w:val="21"/>
                <w:highlight w:val="none"/>
              </w:rPr>
            </w:pPr>
          </w:p>
        </w:tc>
      </w:tr>
      <w:tr w14:paraId="4733E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12" w:hRule="exact"/>
          <w:jc w:val="center"/>
        </w:trPr>
        <w:tc>
          <w:tcPr>
            <w:tcW w:w="8641" w:type="dxa"/>
            <w:vMerge w:val="continue"/>
            <w:tcBorders>
              <w:left w:val="single" w:color="auto" w:sz="4" w:space="0"/>
            </w:tcBorders>
            <w:vAlign w:val="center"/>
          </w:tcPr>
          <w:p w14:paraId="723637C9">
            <w:pPr>
              <w:wordWrap w:val="0"/>
              <w:adjustRightInd w:val="0"/>
              <w:snapToGrid w:val="0"/>
              <w:rPr>
                <w:rFonts w:ascii="宋体" w:hAnsi="宋体" w:eastAsia="宋体" w:cs="宋体"/>
                <w:color w:val="000000"/>
                <w:szCs w:val="21"/>
                <w:highlight w:val="none"/>
              </w:rPr>
            </w:pPr>
          </w:p>
        </w:tc>
      </w:tr>
    </w:tbl>
    <w:p w14:paraId="2283C2B8">
      <w:pPr>
        <w:wordWrap w:val="0"/>
        <w:jc w:val="center"/>
        <w:rPr>
          <w:rFonts w:ascii="Times New Roman" w:hAnsi="Times New Roman" w:eastAsia="宋体" w:cs="Times New Roman"/>
          <w:b/>
          <w:color w:val="000000"/>
          <w:sz w:val="24"/>
          <w:szCs w:val="22"/>
          <w:highlight w:val="none"/>
        </w:rPr>
      </w:pPr>
    </w:p>
    <w:p w14:paraId="5FC7821D">
      <w:pPr>
        <w:wordWrap w:val="0"/>
        <w:jc w:val="center"/>
        <w:rPr>
          <w:rFonts w:ascii="Times New Roman" w:hAnsi="Times New Roman" w:eastAsia="宋体" w:cs="Times New Roman"/>
          <w:b/>
          <w:color w:val="000000"/>
          <w:sz w:val="24"/>
          <w:szCs w:val="22"/>
          <w:highlight w:val="none"/>
        </w:rPr>
      </w:pPr>
    </w:p>
    <w:p w14:paraId="45645B66">
      <w:pPr>
        <w:wordWrap w:val="0"/>
        <w:jc w:val="center"/>
        <w:rPr>
          <w:rFonts w:ascii="Times New Roman" w:hAnsi="Times New Roman" w:eastAsia="宋体" w:cs="Times New Roman"/>
          <w:b/>
          <w:color w:val="000000"/>
          <w:sz w:val="24"/>
          <w:szCs w:val="22"/>
          <w:highlight w:val="none"/>
        </w:rPr>
      </w:pPr>
      <w:r>
        <w:rPr>
          <w:rFonts w:ascii="Times New Roman" w:hAnsi="Times New Roman" w:eastAsia="宋体" w:cs="Times New Roman"/>
          <w:b/>
          <w:color w:val="000000"/>
          <w:sz w:val="24"/>
          <w:szCs w:val="22"/>
          <w:highlight w:val="none"/>
        </w:rPr>
        <w:t>附录</w:t>
      </w:r>
      <w:r>
        <w:rPr>
          <w:rFonts w:hint="eastAsia" w:ascii="Times New Roman" w:hAnsi="Times New Roman" w:eastAsia="宋体" w:cs="Times New Roman"/>
          <w:b/>
          <w:color w:val="000000"/>
          <w:sz w:val="24"/>
          <w:szCs w:val="22"/>
          <w:highlight w:val="none"/>
        </w:rPr>
        <w:t>2</w:t>
      </w:r>
      <w:r>
        <w:rPr>
          <w:rFonts w:ascii="Times New Roman" w:hAnsi="Times New Roman" w:eastAsia="宋体" w:cs="Times New Roman"/>
          <w:b/>
          <w:color w:val="000000"/>
          <w:sz w:val="24"/>
          <w:szCs w:val="22"/>
          <w:highlight w:val="none"/>
        </w:rPr>
        <w:t xml:space="preserve">  资格审查条件（业绩最低要求）</w:t>
      </w:r>
    </w:p>
    <w:tbl>
      <w:tblPr>
        <w:tblStyle w:val="4"/>
        <w:tblW w:w="8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56"/>
      </w:tblGrid>
      <w:tr w14:paraId="072F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8656" w:type="dxa"/>
            <w:vAlign w:val="center"/>
          </w:tcPr>
          <w:p w14:paraId="532BE100">
            <w:pPr>
              <w:wordWrap w:val="0"/>
              <w:adjustRightInd w:val="0"/>
              <w:snapToGrid w:val="0"/>
              <w:jc w:val="center"/>
              <w:rPr>
                <w:rFonts w:ascii="Times New Roman" w:hAnsi="Times New Roman" w:eastAsia="宋体" w:cs="Times New Roman"/>
                <w:b/>
                <w:color w:val="000000"/>
                <w:szCs w:val="21"/>
                <w:highlight w:val="none"/>
                <w:shd w:val="clear" w:color="auto" w:fill="FFFFFF"/>
              </w:rPr>
            </w:pPr>
            <w:r>
              <w:rPr>
                <w:rFonts w:ascii="Times New Roman" w:hAnsi="Times New Roman" w:eastAsia="宋体" w:cs="Times New Roman"/>
                <w:b/>
                <w:color w:val="000000"/>
                <w:szCs w:val="21"/>
                <w:highlight w:val="none"/>
                <w:shd w:val="clear" w:color="auto" w:fill="FFFFFF"/>
              </w:rPr>
              <w:t>业绩要求</w:t>
            </w:r>
          </w:p>
        </w:tc>
      </w:tr>
      <w:tr w14:paraId="2FD8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3" w:hRule="exact"/>
          <w:jc w:val="center"/>
        </w:trPr>
        <w:tc>
          <w:tcPr>
            <w:tcW w:w="8656" w:type="dxa"/>
            <w:vAlign w:val="center"/>
          </w:tcPr>
          <w:p w14:paraId="5F8E99D3">
            <w:pPr>
              <w:widowControl w:val="0"/>
              <w:snapToGrid w:val="0"/>
              <w:jc w:val="left"/>
              <w:rPr>
                <w:rFonts w:ascii="Times New Roman" w:hAnsi="Times New Roman" w:eastAsia="宋体" w:cs="Times New Roman"/>
                <w:color w:val="000000"/>
                <w:kern w:val="2"/>
                <w:sz w:val="21"/>
                <w:szCs w:val="22"/>
                <w:highlight w:val="none"/>
                <w:lang w:val="en-US" w:eastAsia="zh-CN" w:bidi="ar-SA"/>
              </w:rPr>
            </w:pPr>
            <w:r>
              <w:rPr>
                <w:rFonts w:hint="eastAsia" w:ascii="Times New Roman" w:hAnsi="Times New Roman" w:eastAsia="宋体" w:cs="Times New Roman"/>
                <w:color w:val="000000"/>
                <w:kern w:val="2"/>
                <w:sz w:val="21"/>
                <w:szCs w:val="22"/>
                <w:highlight w:val="none"/>
                <w:lang w:val="en-US" w:eastAsia="zh-CN" w:bidi="ar-SA"/>
              </w:rPr>
              <w:t>投标人近3年内(2023年10月1日至投标截止时间，以合同签订时间为准)，至少累计完成过10套所投品牌的车载缓冲垫或10台防撞缓冲车（含所投品牌的车载缓冲垫）供货业绩。</w:t>
            </w:r>
          </w:p>
        </w:tc>
      </w:tr>
    </w:tbl>
    <w:p w14:paraId="44320634">
      <w:pPr>
        <w:wordWrap w:val="0"/>
        <w:ind w:firstLine="843" w:firstLineChars="400"/>
        <w:rPr>
          <w:rFonts w:ascii="Times New Roman" w:hAnsi="Times New Roman" w:eastAsia="宋体" w:cs="Times New Roman"/>
          <w:b/>
          <w:color w:val="000000"/>
          <w:szCs w:val="21"/>
          <w:highlight w:val="none"/>
        </w:rPr>
      </w:pPr>
    </w:p>
    <w:p w14:paraId="20E54EF4">
      <w:pPr>
        <w:wordWrap w:val="0"/>
        <w:jc w:val="center"/>
        <w:rPr>
          <w:rFonts w:ascii="Times New Roman" w:hAnsi="Times New Roman" w:eastAsia="宋体" w:cs="Times New Roman"/>
          <w:b/>
          <w:color w:val="000000"/>
          <w:sz w:val="24"/>
          <w:szCs w:val="22"/>
          <w:highlight w:val="none"/>
        </w:rPr>
      </w:pPr>
    </w:p>
    <w:p w14:paraId="3F9702D6">
      <w:pPr>
        <w:wordWrap w:val="0"/>
        <w:jc w:val="center"/>
        <w:rPr>
          <w:rFonts w:ascii="Times New Roman" w:hAnsi="Times New Roman" w:eastAsia="宋体" w:cs="Times New Roman"/>
          <w:b/>
          <w:color w:val="000000"/>
          <w:sz w:val="24"/>
          <w:szCs w:val="22"/>
          <w:highlight w:val="none"/>
        </w:rPr>
      </w:pPr>
    </w:p>
    <w:p w14:paraId="585F33E7">
      <w:pPr>
        <w:wordWrap w:val="0"/>
        <w:jc w:val="center"/>
        <w:rPr>
          <w:rFonts w:ascii="Times New Roman" w:hAnsi="Times New Roman" w:eastAsia="宋体" w:cs="Times New Roman"/>
          <w:color w:val="000000"/>
          <w:szCs w:val="22"/>
          <w:highlight w:val="none"/>
        </w:rPr>
      </w:pPr>
      <w:r>
        <w:rPr>
          <w:rFonts w:ascii="Times New Roman" w:hAnsi="Times New Roman" w:eastAsia="宋体" w:cs="Times New Roman"/>
          <w:b/>
          <w:color w:val="000000"/>
          <w:sz w:val="24"/>
          <w:szCs w:val="22"/>
          <w:highlight w:val="none"/>
        </w:rPr>
        <w:t>附录3  资格审查条件（信誉最低要求）</w:t>
      </w:r>
    </w:p>
    <w:tbl>
      <w:tblPr>
        <w:tblStyle w:val="4"/>
        <w:tblW w:w="861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612"/>
      </w:tblGrid>
      <w:tr w14:paraId="2B194B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4" w:hRule="atLeast"/>
          <w:jc w:val="center"/>
        </w:trPr>
        <w:tc>
          <w:tcPr>
            <w:tcW w:w="8612" w:type="dxa"/>
            <w:tcBorders>
              <w:left w:val="single" w:color="auto" w:sz="4" w:space="0"/>
            </w:tcBorders>
            <w:vAlign w:val="center"/>
          </w:tcPr>
          <w:p w14:paraId="44630ED9">
            <w:pPr>
              <w:wordWrap w:val="0"/>
              <w:adjustRightInd w:val="0"/>
              <w:snapToGrid w:val="0"/>
              <w:jc w:val="center"/>
              <w:rPr>
                <w:rFonts w:ascii="Times New Roman" w:hAnsi="Times New Roman" w:eastAsia="宋体" w:cs="Times New Roman"/>
                <w:b/>
                <w:color w:val="000000"/>
                <w:szCs w:val="21"/>
                <w:highlight w:val="none"/>
              </w:rPr>
            </w:pPr>
            <w:r>
              <w:rPr>
                <w:rFonts w:ascii="Times New Roman" w:hAnsi="Times New Roman" w:eastAsia="宋体" w:cs="Times New Roman"/>
                <w:b/>
                <w:color w:val="000000"/>
                <w:szCs w:val="21"/>
                <w:highlight w:val="none"/>
              </w:rPr>
              <w:t>信誉要求</w:t>
            </w:r>
          </w:p>
        </w:tc>
      </w:tr>
      <w:tr w14:paraId="706E53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exact"/>
          <w:jc w:val="center"/>
        </w:trPr>
        <w:tc>
          <w:tcPr>
            <w:tcW w:w="8612" w:type="dxa"/>
            <w:vMerge w:val="restart"/>
            <w:tcBorders>
              <w:left w:val="single" w:color="auto" w:sz="4" w:space="0"/>
            </w:tcBorders>
            <w:vAlign w:val="center"/>
          </w:tcPr>
          <w:p w14:paraId="04F690C5">
            <w:pPr>
              <w:wordWrap w:val="0"/>
              <w:rPr>
                <w:rFonts w:ascii="Times New Roman" w:hAnsi="Times New Roman" w:eastAsia="宋体" w:cs="Times New Roman"/>
                <w:color w:val="000000"/>
                <w:szCs w:val="22"/>
                <w:highlight w:val="none"/>
              </w:rPr>
            </w:pPr>
            <w:r>
              <w:rPr>
                <w:rFonts w:ascii="Times New Roman" w:hAnsi="Times New Roman" w:eastAsia="宋体" w:cs="Times New Roman"/>
                <w:color w:val="000000"/>
                <w:szCs w:val="22"/>
                <w:highlight w:val="none"/>
              </w:rPr>
              <w:t>投标人在近一年（</w:t>
            </w:r>
            <w:r>
              <w:rPr>
                <w:rFonts w:hint="eastAsia" w:ascii="Times New Roman" w:hAnsi="Times New Roman" w:eastAsia="宋体" w:cs="Times New Roman"/>
                <w:color w:val="000000"/>
                <w:szCs w:val="22"/>
                <w:highlight w:val="none"/>
              </w:rPr>
              <w:t>2025年10月1日</w:t>
            </w:r>
            <w:r>
              <w:rPr>
                <w:rFonts w:ascii="Times New Roman" w:hAnsi="Times New Roman" w:eastAsia="宋体" w:cs="Times New Roman"/>
                <w:color w:val="000000"/>
                <w:szCs w:val="22"/>
                <w:highlight w:val="none"/>
              </w:rPr>
              <w:t>至投标截止时间）不曾在</w:t>
            </w:r>
            <w:r>
              <w:rPr>
                <w:rFonts w:hint="eastAsia" w:ascii="Times New Roman" w:hAnsi="Times New Roman" w:eastAsia="宋体" w:cs="Times New Roman"/>
                <w:color w:val="000000"/>
                <w:szCs w:val="22"/>
                <w:highlight w:val="none"/>
              </w:rPr>
              <w:t>车载缓冲垫</w:t>
            </w:r>
            <w:r>
              <w:rPr>
                <w:rFonts w:hint="eastAsia" w:ascii="Times New Roman" w:hAnsi="Times New Roman" w:eastAsia="宋体" w:cs="Times New Roman"/>
                <w:color w:val="000000"/>
                <w:kern w:val="2"/>
                <w:sz w:val="21"/>
                <w:szCs w:val="22"/>
                <w:highlight w:val="none"/>
                <w:lang w:val="en-US" w:eastAsia="zh-CN" w:bidi="ar-SA"/>
              </w:rPr>
              <w:t>或防撞缓冲车</w:t>
            </w:r>
            <w:r>
              <w:rPr>
                <w:rFonts w:hint="eastAsia" w:ascii="Times New Roman" w:hAnsi="Times New Roman" w:eastAsia="宋体" w:cs="Times New Roman"/>
                <w:color w:val="000000"/>
                <w:szCs w:val="22"/>
                <w:highlight w:val="none"/>
              </w:rPr>
              <w:t>供货合同</w:t>
            </w:r>
            <w:r>
              <w:rPr>
                <w:rFonts w:ascii="Times New Roman" w:hAnsi="Times New Roman" w:eastAsia="宋体" w:cs="Times New Roman"/>
                <w:color w:val="000000"/>
                <w:szCs w:val="22"/>
                <w:highlight w:val="none"/>
              </w:rPr>
              <w:t>中违约</w:t>
            </w:r>
            <w:r>
              <w:rPr>
                <w:rFonts w:hint="eastAsia" w:ascii="Times New Roman" w:hAnsi="Times New Roman" w:eastAsia="宋体" w:cs="Times New Roman"/>
                <w:color w:val="000000"/>
                <w:szCs w:val="22"/>
                <w:highlight w:val="none"/>
              </w:rPr>
              <w:t>而</w:t>
            </w:r>
            <w:r>
              <w:rPr>
                <w:rFonts w:ascii="Times New Roman" w:hAnsi="Times New Roman" w:eastAsia="宋体" w:cs="Times New Roman"/>
                <w:color w:val="000000"/>
                <w:szCs w:val="22"/>
                <w:highlight w:val="none"/>
              </w:rPr>
              <w:t>被</w:t>
            </w:r>
            <w:r>
              <w:rPr>
                <w:rFonts w:hint="eastAsia" w:ascii="Times New Roman" w:hAnsi="Times New Roman" w:eastAsia="宋体" w:cs="Times New Roman"/>
                <w:color w:val="000000"/>
                <w:szCs w:val="22"/>
                <w:highlight w:val="none"/>
              </w:rPr>
              <w:t>驱逐</w:t>
            </w:r>
            <w:r>
              <w:rPr>
                <w:rFonts w:ascii="Times New Roman" w:hAnsi="Times New Roman" w:eastAsia="宋体" w:cs="Times New Roman"/>
                <w:color w:val="000000"/>
                <w:szCs w:val="22"/>
                <w:highlight w:val="none"/>
              </w:rPr>
              <w:t>或因投标人自身的原因而使</w:t>
            </w:r>
            <w:r>
              <w:rPr>
                <w:rFonts w:hint="eastAsia" w:ascii="Times New Roman" w:hAnsi="Times New Roman" w:eastAsia="宋体" w:cs="Times New Roman"/>
                <w:color w:val="000000"/>
                <w:szCs w:val="22"/>
                <w:highlight w:val="none"/>
              </w:rPr>
              <w:t>车载缓冲垫</w:t>
            </w:r>
            <w:r>
              <w:rPr>
                <w:rFonts w:hint="eastAsia" w:ascii="Times New Roman" w:hAnsi="Times New Roman" w:eastAsia="宋体" w:cs="Times New Roman"/>
                <w:color w:val="000000"/>
                <w:kern w:val="2"/>
                <w:sz w:val="21"/>
                <w:szCs w:val="22"/>
                <w:highlight w:val="none"/>
                <w:lang w:val="en-US" w:eastAsia="zh-CN" w:bidi="ar-SA"/>
              </w:rPr>
              <w:t>或防撞缓冲车</w:t>
            </w:r>
            <w:r>
              <w:rPr>
                <w:rFonts w:hint="eastAsia" w:ascii="Times New Roman" w:hAnsi="Times New Roman" w:eastAsia="宋体" w:cs="Times New Roman"/>
                <w:color w:val="000000"/>
                <w:szCs w:val="22"/>
                <w:highlight w:val="none"/>
              </w:rPr>
              <w:t>供货合同</w:t>
            </w:r>
            <w:r>
              <w:rPr>
                <w:rFonts w:ascii="Times New Roman" w:hAnsi="Times New Roman" w:eastAsia="宋体" w:cs="Times New Roman"/>
                <w:color w:val="000000"/>
                <w:szCs w:val="22"/>
                <w:highlight w:val="none"/>
              </w:rPr>
              <w:t>被解除。</w:t>
            </w:r>
          </w:p>
        </w:tc>
      </w:tr>
      <w:tr w14:paraId="6DF1C5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exact"/>
          <w:jc w:val="center"/>
        </w:trPr>
        <w:tc>
          <w:tcPr>
            <w:tcW w:w="8612" w:type="dxa"/>
            <w:vMerge w:val="continue"/>
            <w:tcBorders>
              <w:left w:val="single" w:color="auto" w:sz="4" w:space="0"/>
            </w:tcBorders>
            <w:vAlign w:val="center"/>
          </w:tcPr>
          <w:p w14:paraId="4980D2AC">
            <w:pPr>
              <w:wordWrap w:val="0"/>
              <w:rPr>
                <w:rFonts w:ascii="Times New Roman" w:hAnsi="Times New Roman" w:eastAsia="宋体" w:cs="Times New Roman"/>
                <w:color w:val="000000"/>
                <w:szCs w:val="22"/>
                <w:highlight w:val="none"/>
              </w:rPr>
            </w:pPr>
          </w:p>
        </w:tc>
      </w:tr>
      <w:tr w14:paraId="0DCC93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exact"/>
          <w:jc w:val="center"/>
        </w:trPr>
        <w:tc>
          <w:tcPr>
            <w:tcW w:w="8612" w:type="dxa"/>
            <w:vMerge w:val="continue"/>
            <w:tcBorders>
              <w:left w:val="single" w:color="auto" w:sz="4" w:space="0"/>
            </w:tcBorders>
            <w:vAlign w:val="center"/>
          </w:tcPr>
          <w:p w14:paraId="799CE266">
            <w:pPr>
              <w:wordWrap w:val="0"/>
              <w:rPr>
                <w:rFonts w:ascii="Times New Roman" w:hAnsi="Times New Roman" w:eastAsia="宋体" w:cs="Times New Roman"/>
                <w:color w:val="000000"/>
                <w:szCs w:val="22"/>
                <w:highlight w:val="none"/>
              </w:rPr>
            </w:pPr>
          </w:p>
        </w:tc>
      </w:tr>
      <w:tr w14:paraId="6E2AF7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exact"/>
          <w:jc w:val="center"/>
        </w:trPr>
        <w:tc>
          <w:tcPr>
            <w:tcW w:w="8612" w:type="dxa"/>
            <w:vMerge w:val="continue"/>
            <w:tcBorders>
              <w:left w:val="single" w:color="auto" w:sz="4" w:space="0"/>
            </w:tcBorders>
            <w:vAlign w:val="center"/>
          </w:tcPr>
          <w:p w14:paraId="108880C8">
            <w:pPr>
              <w:wordWrap w:val="0"/>
              <w:rPr>
                <w:rFonts w:ascii="Times New Roman" w:hAnsi="Times New Roman" w:eastAsia="宋体" w:cs="Times New Roman"/>
                <w:color w:val="000000"/>
                <w:szCs w:val="22"/>
                <w:highlight w:val="none"/>
              </w:rPr>
            </w:pPr>
          </w:p>
        </w:tc>
      </w:tr>
    </w:tbl>
    <w:p w14:paraId="4C392125">
      <w:pPr>
        <w:wordWrap w:val="0"/>
        <w:rPr>
          <w:rFonts w:ascii="Times New Roman" w:hAnsi="Times New Roman" w:eastAsia="宋体" w:cs="Times New Roman"/>
          <w:b/>
          <w:color w:val="000000"/>
          <w:sz w:val="24"/>
          <w:szCs w:val="22"/>
          <w:highlight w:val="none"/>
        </w:rPr>
      </w:pPr>
    </w:p>
    <w:p w14:paraId="0D5E4F51">
      <w:pPr>
        <w:wordWrap w:val="0"/>
        <w:rPr>
          <w:rFonts w:ascii="Times New Roman" w:hAnsi="Times New Roman" w:eastAsia="宋体" w:cs="Times New Roman"/>
          <w:b/>
          <w:color w:val="000000"/>
          <w:sz w:val="24"/>
          <w:szCs w:val="22"/>
          <w:highlight w:val="none"/>
        </w:rPr>
      </w:pPr>
    </w:p>
    <w:p w14:paraId="52B89ED0">
      <w:pPr>
        <w:wordWrap w:val="0"/>
        <w:rPr>
          <w:rFonts w:ascii="Times New Roman" w:hAnsi="Times New Roman" w:eastAsia="宋体" w:cs="Times New Roman"/>
          <w:b/>
          <w:color w:val="000000"/>
          <w:sz w:val="24"/>
          <w:szCs w:val="22"/>
          <w:highlight w:val="none"/>
        </w:rPr>
      </w:pPr>
    </w:p>
    <w:p w14:paraId="19168315">
      <w:pPr>
        <w:snapToGrid w:val="0"/>
        <w:rPr>
          <w:rFonts w:ascii="宋体" w:hAnsi="宋体" w:eastAsia="宋体" w:cs="Times New Roman"/>
          <w:color w:val="000000"/>
          <w:szCs w:val="21"/>
          <w:highlight w:val="none"/>
        </w:rPr>
      </w:pPr>
    </w:p>
    <w:p w14:paraId="3C8F7191">
      <w:pPr>
        <w:wordWrap w:val="0"/>
        <w:autoSpaceDE w:val="0"/>
        <w:autoSpaceDN w:val="0"/>
        <w:adjustRightInd w:val="0"/>
        <w:ind w:right="-20"/>
        <w:jc w:val="left"/>
        <w:outlineLvl w:val="3"/>
        <w:rPr>
          <w:rFonts w:ascii="Times New Roman" w:hAnsi="Times New Roman" w:eastAsia="宋体" w:cs="Times New Roman"/>
          <w:b/>
          <w:color w:val="000000"/>
          <w:sz w:val="28"/>
          <w:szCs w:val="28"/>
          <w:highlight w:val="none"/>
        </w:rPr>
      </w:pPr>
      <w:r>
        <w:rPr>
          <w:rFonts w:ascii="Times New Roman" w:hAnsi="Times New Roman" w:eastAsia="宋体" w:cs="Times New Roman"/>
          <w:b/>
          <w:color w:val="000000"/>
          <w:sz w:val="28"/>
          <w:szCs w:val="28"/>
          <w:highlight w:val="none"/>
        </w:rPr>
        <w:br w:type="page"/>
      </w:r>
      <w:r>
        <w:rPr>
          <w:rFonts w:ascii="Times New Roman" w:hAnsi="Times New Roman" w:eastAsia="宋体" w:cs="Times New Roman"/>
          <w:b/>
          <w:color w:val="000000"/>
          <w:sz w:val="24"/>
          <w:szCs w:val="24"/>
          <w:highlight w:val="none"/>
        </w:rPr>
        <w:t>附件2：评标办法</w:t>
      </w:r>
    </w:p>
    <w:p w14:paraId="2065F74D">
      <w:pPr>
        <w:keepNext/>
        <w:keepLines/>
        <w:widowControl w:val="0"/>
        <w:wordWrap w:val="0"/>
        <w:spacing w:before="120" w:beforeLines="50" w:line="360" w:lineRule="auto"/>
        <w:jc w:val="both"/>
        <w:outlineLvl w:val="2"/>
        <w:rPr>
          <w:rFonts w:ascii="宋体" w:hAnsi="宋体" w:eastAsia="宋体" w:cs="宋体"/>
          <w:b/>
          <w:bCs/>
          <w:color w:val="000000"/>
          <w:spacing w:val="2"/>
          <w:kern w:val="2"/>
          <w:sz w:val="24"/>
          <w:szCs w:val="24"/>
          <w:highlight w:val="none"/>
          <w:lang w:val="en-US" w:eastAsia="zh-CN" w:bidi="ar-SA"/>
        </w:rPr>
      </w:pPr>
      <w:r>
        <w:rPr>
          <w:rFonts w:hint="eastAsia" w:ascii="宋体" w:hAnsi="宋体" w:eastAsia="宋体" w:cs="宋体"/>
          <w:b/>
          <w:bCs/>
          <w:color w:val="000000"/>
          <w:spacing w:val="2"/>
          <w:kern w:val="2"/>
          <w:sz w:val="24"/>
          <w:szCs w:val="24"/>
          <w:highlight w:val="none"/>
          <w:lang w:val="en-US" w:eastAsia="zh-CN" w:bidi="ar-SA"/>
        </w:rPr>
        <w:t>评标办法前附表</w:t>
      </w:r>
    </w:p>
    <w:tbl>
      <w:tblPr>
        <w:tblStyle w:val="4"/>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1689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7E17A832">
            <w:pPr>
              <w:widowControl/>
              <w:adjustRightInd w:val="0"/>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条款号</w:t>
            </w:r>
          </w:p>
        </w:tc>
        <w:tc>
          <w:tcPr>
            <w:tcW w:w="7197" w:type="dxa"/>
            <w:vAlign w:val="center"/>
          </w:tcPr>
          <w:p w14:paraId="5C672E0C">
            <w:pPr>
              <w:widowControl/>
              <w:adjustRightInd w:val="0"/>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评审因素与标准</w:t>
            </w:r>
          </w:p>
        </w:tc>
      </w:tr>
      <w:tr w14:paraId="3626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57" w:hRule="atLeast"/>
          <w:jc w:val="center"/>
        </w:trPr>
        <w:tc>
          <w:tcPr>
            <w:tcW w:w="1143" w:type="dxa"/>
            <w:vAlign w:val="center"/>
          </w:tcPr>
          <w:p w14:paraId="6B0805D6">
            <w:pPr>
              <w:widowControl/>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1</w:t>
            </w:r>
          </w:p>
        </w:tc>
        <w:tc>
          <w:tcPr>
            <w:tcW w:w="1317" w:type="dxa"/>
            <w:vAlign w:val="center"/>
          </w:tcPr>
          <w:p w14:paraId="0CBB0199">
            <w:pPr>
              <w:widowControl/>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color w:val="000000"/>
                <w:kern w:val="0"/>
                <w:szCs w:val="21"/>
                <w:highlight w:val="none"/>
              </w:rPr>
              <w:t>评标办法</w:t>
            </w:r>
          </w:p>
        </w:tc>
        <w:tc>
          <w:tcPr>
            <w:tcW w:w="7197" w:type="dxa"/>
            <w:vAlign w:val="center"/>
          </w:tcPr>
          <w:p w14:paraId="1461D16E">
            <w:pPr>
              <w:wordWrap w:val="0"/>
              <w:adjustRightInd w:val="0"/>
              <w:snapToGrid w:val="0"/>
              <w:spacing w:line="320" w:lineRule="exact"/>
              <w:jc w:val="left"/>
              <w:rPr>
                <w:rFonts w:ascii="宋体" w:hAnsi="宋体" w:eastAsia="宋体" w:cs="Arial"/>
                <w:color w:val="000000"/>
                <w:kern w:val="0"/>
                <w:szCs w:val="21"/>
                <w:highlight w:val="none"/>
              </w:rPr>
            </w:pPr>
            <w:r>
              <w:rPr>
                <w:rFonts w:hint="eastAsia" w:ascii="宋体" w:hAnsi="宋体" w:eastAsia="宋体" w:cs="Arial"/>
                <w:color w:val="000000"/>
                <w:kern w:val="0"/>
                <w:szCs w:val="21"/>
                <w:highlight w:val="none"/>
              </w:rPr>
              <w:t>本条修改为：</w:t>
            </w:r>
          </w:p>
          <w:p w14:paraId="7C335D81">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本次评标采用技术评分最低标价法，双信封形式。</w:t>
            </w:r>
          </w:p>
          <w:p w14:paraId="58AFF6B1">
            <w:pPr>
              <w:widowControl/>
              <w:snapToGrid w:val="0"/>
              <w:spacing w:line="320" w:lineRule="exact"/>
              <w:ind w:firstLine="420" w:firstLineChars="200"/>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评标委员会对满足招标文件实质性要求的投标文件第一个信封，按照本章第2.2款规定的评分标准进行打分，并按综合得分由高到低顺序确定</w:t>
            </w:r>
            <w:r>
              <w:rPr>
                <w:rFonts w:hint="eastAsia" w:ascii="宋体" w:hAnsi="宋体" w:eastAsia="宋体" w:cs="宋体"/>
                <w:b/>
                <w:bCs/>
                <w:color w:val="000000"/>
                <w:kern w:val="0"/>
                <w:szCs w:val="21"/>
                <w:highlight w:val="none"/>
              </w:rPr>
              <w:t>前3</w:t>
            </w:r>
            <w:r>
              <w:rPr>
                <w:rFonts w:hint="eastAsia" w:ascii="宋体" w:hAnsi="宋体" w:eastAsia="宋体" w:cs="宋体"/>
                <w:b/>
                <w:bCs/>
                <w:color w:val="000000"/>
                <w:kern w:val="0"/>
                <w:szCs w:val="21"/>
                <w:highlight w:val="none"/>
                <w:lang w:eastAsia="zh-CN"/>
              </w:rPr>
              <w:t>个</w:t>
            </w:r>
            <w:r>
              <w:rPr>
                <w:rFonts w:hint="eastAsia" w:ascii="宋体" w:hAnsi="宋体" w:eastAsia="宋体" w:cs="宋体"/>
                <w:color w:val="000000"/>
                <w:kern w:val="0"/>
                <w:szCs w:val="21"/>
                <w:highlight w:val="none"/>
              </w:rPr>
              <w:t>投标人进入第二个信封评审。若综合得分相同，以技术部分得分高的投标人优先，技术部分得分也相同的，以技术部分（明标）得分高的投标人优先；技术部分（明标）得分也相同的，以</w:t>
            </w:r>
            <w:r>
              <w:rPr>
                <w:rFonts w:hint="eastAsia" w:ascii="宋体" w:hAnsi="宋体" w:eastAsia="宋体" w:cs="宋体"/>
                <w:color w:val="000000"/>
                <w:szCs w:val="21"/>
                <w:highlight w:val="none"/>
              </w:rPr>
              <w:t>满足资格审查条件附录2（业绩最低要求）要求的累计供货数量多的投标人优先</w:t>
            </w:r>
            <w:r>
              <w:rPr>
                <w:rFonts w:hint="eastAsia" w:ascii="宋体" w:hAnsi="宋体" w:eastAsia="宋体" w:cs="宋体"/>
                <w:color w:val="000000"/>
                <w:kern w:val="0"/>
                <w:szCs w:val="21"/>
                <w:highlight w:val="none"/>
              </w:rPr>
              <w:t>。</w:t>
            </w:r>
          </w:p>
          <w:p w14:paraId="50D0004F">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未通过第一信封评审或综合得分未进入前3</w:t>
            </w:r>
            <w:r>
              <w:rPr>
                <w:rFonts w:hint="eastAsia" w:ascii="宋体" w:hAnsi="宋体" w:eastAsia="宋体" w:cs="宋体"/>
                <w:color w:val="000000"/>
                <w:kern w:val="0"/>
                <w:szCs w:val="21"/>
                <w:highlight w:val="none"/>
                <w:lang w:eastAsia="zh-CN"/>
              </w:rPr>
              <w:t>个</w:t>
            </w:r>
            <w:r>
              <w:rPr>
                <w:rFonts w:hint="eastAsia" w:ascii="宋体" w:hAnsi="宋体" w:eastAsia="宋体" w:cs="宋体"/>
                <w:color w:val="000000"/>
                <w:kern w:val="0"/>
                <w:szCs w:val="21"/>
                <w:highlight w:val="none"/>
              </w:rPr>
              <w:t>的投标人，其第二信封在整个评标期间不再开封，不随任何因素发生变化。</w:t>
            </w:r>
          </w:p>
          <w:p w14:paraId="5DC5069A">
            <w:pPr>
              <w:snapToGrid w:val="0"/>
              <w:spacing w:line="320" w:lineRule="exact"/>
              <w:ind w:firstLine="420" w:firstLineChars="200"/>
              <w:rPr>
                <w:rFonts w:ascii="宋体" w:hAnsi="宋体" w:eastAsia="宋体" w:cs="Arial"/>
                <w:color w:val="000000"/>
                <w:kern w:val="0"/>
                <w:szCs w:val="21"/>
                <w:highlight w:val="none"/>
              </w:rPr>
            </w:pPr>
            <w:r>
              <w:rPr>
                <w:rFonts w:hint="eastAsia" w:ascii="Times New Roman" w:hAnsi="Times New Roman" w:eastAsia="宋体" w:cs="Times New Roman"/>
                <w:color w:val="000000"/>
                <w:szCs w:val="24"/>
                <w:highlight w:val="none"/>
              </w:rPr>
              <w:t>当通过第一个信封初步评审的投标人未超过3个时，评标委员</w:t>
            </w:r>
            <w:r>
              <w:rPr>
                <w:rFonts w:hint="eastAsia" w:ascii="宋体" w:hAnsi="宋体" w:eastAsia="宋体" w:cs="Arial"/>
                <w:color w:val="000000"/>
                <w:kern w:val="0"/>
                <w:szCs w:val="21"/>
                <w:highlight w:val="none"/>
              </w:rPr>
              <w:t>会不再进行打分，均进入第二个信封评审。</w:t>
            </w:r>
          </w:p>
          <w:p w14:paraId="0092AB32">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评标委员会按评标价由低到高的顺序，向招标人推荐1-3个中标候选人。</w:t>
            </w:r>
          </w:p>
          <w:p w14:paraId="023CE6F6">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评标价相等时，评标委员会依次按照以下优先顺序推荐中标候选人：</w:t>
            </w:r>
          </w:p>
          <w:p w14:paraId="3E269338">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r>
              <w:rPr>
                <w:rFonts w:hint="eastAsia" w:ascii="宋体" w:hAnsi="宋体" w:eastAsia="宋体" w:cs="Arial"/>
                <w:color w:val="000000"/>
                <w:kern w:val="0"/>
                <w:szCs w:val="21"/>
                <w:highlight w:val="none"/>
              </w:rPr>
              <w:t>技术</w:t>
            </w:r>
            <w:r>
              <w:rPr>
                <w:rFonts w:hint="eastAsia" w:ascii="宋体" w:hAnsi="宋体" w:eastAsia="宋体" w:cs="Arial"/>
                <w:color w:val="000000"/>
                <w:kern w:val="0"/>
                <w:szCs w:val="21"/>
                <w:highlight w:val="none"/>
                <w:lang w:eastAsia="zh-CN"/>
              </w:rPr>
              <w:t>部分</w:t>
            </w:r>
            <w:r>
              <w:rPr>
                <w:rFonts w:hint="eastAsia" w:ascii="宋体" w:hAnsi="宋体" w:eastAsia="宋体" w:cs="Arial"/>
                <w:color w:val="000000"/>
                <w:kern w:val="0"/>
                <w:szCs w:val="21"/>
                <w:highlight w:val="none"/>
              </w:rPr>
              <w:t>得分较高的投标人优先；</w:t>
            </w:r>
          </w:p>
          <w:p w14:paraId="7A499A21">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（2）技术部分（明标）得分较高的</w:t>
            </w:r>
            <w:r>
              <w:rPr>
                <w:rFonts w:hint="eastAsia" w:ascii="宋体" w:hAnsi="宋体" w:eastAsia="宋体" w:cs="宋体"/>
                <w:color w:val="000000"/>
                <w:kern w:val="0"/>
                <w:szCs w:val="21"/>
                <w:highlight w:val="none"/>
                <w:lang w:eastAsia="zh-CN"/>
              </w:rPr>
              <w:t>投标人</w:t>
            </w:r>
            <w:r>
              <w:rPr>
                <w:rFonts w:hint="eastAsia" w:ascii="宋体" w:hAnsi="宋体" w:eastAsia="宋体" w:cs="宋体"/>
                <w:color w:val="000000"/>
                <w:kern w:val="0"/>
                <w:szCs w:val="21"/>
                <w:highlight w:val="none"/>
              </w:rPr>
              <w:t>优先；</w:t>
            </w:r>
          </w:p>
          <w:p w14:paraId="323685FD">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r>
              <w:rPr>
                <w:rFonts w:hint="eastAsia" w:ascii="宋体" w:hAnsi="宋体" w:eastAsia="宋体" w:cs="宋体"/>
                <w:color w:val="000000"/>
                <w:szCs w:val="21"/>
                <w:highlight w:val="none"/>
              </w:rPr>
              <w:t>满足资格审查条件附录2（业绩最低要求）要求的累计供货数量多的投标人优先。</w:t>
            </w:r>
          </w:p>
        </w:tc>
      </w:tr>
      <w:tr w14:paraId="51D9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67304F8E">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2.1.1</w:t>
            </w:r>
          </w:p>
          <w:p w14:paraId="3EB9FED4">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2.1.3</w:t>
            </w:r>
          </w:p>
        </w:tc>
        <w:tc>
          <w:tcPr>
            <w:tcW w:w="1317" w:type="dxa"/>
            <w:vAlign w:val="center"/>
          </w:tcPr>
          <w:p w14:paraId="50F34303">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形式评审与响应性评审标准</w:t>
            </w:r>
          </w:p>
        </w:tc>
        <w:tc>
          <w:tcPr>
            <w:tcW w:w="7197" w:type="dxa"/>
            <w:vAlign w:val="center"/>
          </w:tcPr>
          <w:p w14:paraId="11043465">
            <w:pPr>
              <w:widowControl/>
              <w:snapToGrid w:val="0"/>
              <w:spacing w:line="320" w:lineRule="exact"/>
              <w:jc w:val="left"/>
              <w:rPr>
                <w:rFonts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第一个信封（商务文件）评审标准：</w:t>
            </w:r>
          </w:p>
          <w:p w14:paraId="796D94DE">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（1）投标文件按照招标文件规定的格式、内容填写，字迹清晰可辨：</w:t>
            </w:r>
          </w:p>
          <w:p w14:paraId="0365B490">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a.</w:t>
            </w:r>
            <w:r>
              <w:rPr>
                <w:rFonts w:hint="eastAsia" w:ascii="宋体" w:hAnsi="宋体" w:eastAsia="宋体" w:cs="宋体"/>
                <w:color w:val="000000"/>
                <w:szCs w:val="21"/>
                <w:highlight w:val="none"/>
              </w:rPr>
              <w:t>投标函按照招标文件规定填报了招标人名称、项目名称、补遗书编号（如有）、交货地点、交货期、质量标准</w:t>
            </w:r>
            <w:r>
              <w:rPr>
                <w:rFonts w:hint="eastAsia" w:ascii="宋体" w:hAnsi="宋体" w:eastAsia="宋体" w:cs="宋体"/>
                <w:color w:val="000000"/>
                <w:kern w:val="0"/>
                <w:szCs w:val="21"/>
                <w:highlight w:val="none"/>
              </w:rPr>
              <w:t>；</w:t>
            </w:r>
          </w:p>
          <w:p w14:paraId="0BD22AB8">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b.投标文件组成齐全完整，内容均按规定填写；</w:t>
            </w:r>
          </w:p>
          <w:p w14:paraId="12EED672">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（2）投标文件上法定代表人或其委托代理人的签字、投标人的单位章盖章齐全，符合招标文件规定：</w:t>
            </w:r>
          </w:p>
          <w:p w14:paraId="41840389">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（3）投标人按照招标文件的规定提供了投标保证金，满足投标人须知3.4.1规定。</w:t>
            </w:r>
          </w:p>
          <w:p w14:paraId="286DBF5E">
            <w:pPr>
              <w:widowControl/>
              <w:snapToGrid w:val="0"/>
              <w:spacing w:line="320" w:lineRule="exac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（4）投标人法定代表人授权委托代理人签署投标文件的，须提交授权委托书，授权委托书的签字盖章符合招标文件规定。</w:t>
            </w:r>
          </w:p>
          <w:p w14:paraId="4524F0FC">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（5）投标人法定代表人亲自签署投标文件的，提供了法定代表人身份证明，法定代表人身份证明的签字盖章符合招标文件规定。</w:t>
            </w:r>
          </w:p>
          <w:p w14:paraId="04A34295">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（6）投标人未以联合体形式投标。</w:t>
            </w:r>
          </w:p>
          <w:p w14:paraId="70F83D5A">
            <w:pPr>
              <w:widowControl/>
              <w:snapToGrid w:val="0"/>
              <w:spacing w:line="320" w:lineRule="exact"/>
              <w:ind w:right="113"/>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（7）投标人未对本项目进行分包。</w:t>
            </w:r>
          </w:p>
          <w:p w14:paraId="06430CF0">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（8）同一投标人未提交两个以上不同的投标文件。</w:t>
            </w:r>
          </w:p>
          <w:p w14:paraId="3C6AE5BA">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（9）投标文件中未出现有关投标报价的内容。</w:t>
            </w:r>
          </w:p>
          <w:p w14:paraId="5DDCE7E0">
            <w:pPr>
              <w:widowControl/>
              <w:snapToGrid w:val="0"/>
              <w:spacing w:line="320" w:lineRule="exact"/>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（10）投标文件载明的招标项目完成期限未超过招标文件规定的时限。</w:t>
            </w:r>
          </w:p>
          <w:p w14:paraId="1DE8D504">
            <w:pPr>
              <w:widowControl/>
              <w:snapToGrid w:val="0"/>
              <w:spacing w:line="320" w:lineRule="exact"/>
              <w:jc w:val="left"/>
              <w:rPr>
                <w:rFonts w:hint="eastAsia" w:ascii="宋体" w:hAnsi="宋体" w:eastAsia="宋体" w:cs="宋体"/>
                <w:color w:val="000000"/>
                <w:kern w:val="0"/>
                <w:szCs w:val="21"/>
                <w:highlight w:val="none"/>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11</w:t>
            </w:r>
            <w:r>
              <w:rPr>
                <w:rFonts w:hint="eastAsia" w:ascii="宋体" w:hAnsi="宋体" w:eastAsia="宋体" w:cs="宋体"/>
                <w:color w:val="000000"/>
                <w:szCs w:val="21"/>
                <w:highlight w:val="none"/>
              </w:rPr>
              <w:t>）投标文件对招标文件的实质性要求和条件作出响应。</w:t>
            </w:r>
          </w:p>
          <w:p w14:paraId="4ADEA932">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w:t>
            </w:r>
            <w:r>
              <w:rPr>
                <w:rFonts w:hint="eastAsia" w:ascii="宋体" w:hAnsi="宋体" w:eastAsia="宋体" w:cs="宋体"/>
                <w:color w:val="000000"/>
                <w:kern w:val="0"/>
                <w:szCs w:val="21"/>
                <w:highlight w:val="none"/>
                <w:lang w:val="en-US" w:eastAsia="zh-CN"/>
              </w:rPr>
              <w:t>12</w:t>
            </w:r>
            <w:r>
              <w:rPr>
                <w:rFonts w:hint="eastAsia" w:ascii="宋体" w:hAnsi="宋体" w:eastAsia="宋体" w:cs="宋体"/>
                <w:color w:val="000000"/>
                <w:kern w:val="0"/>
                <w:szCs w:val="21"/>
                <w:highlight w:val="none"/>
              </w:rPr>
              <w:t>）权利义务符合招标文件规定：</w:t>
            </w:r>
          </w:p>
          <w:p w14:paraId="56AEDD9E">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a．投标人应接受招标文件规定的风险划分原则，未提出新的风险划分办法；</w:t>
            </w:r>
          </w:p>
          <w:p w14:paraId="195A5A31">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b．投标人未增加发包人的责任范围，或减少投标人义务；</w:t>
            </w:r>
          </w:p>
          <w:p w14:paraId="666269FC">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c．投标人未提出不同的验收、计量、支付办法；</w:t>
            </w:r>
          </w:p>
          <w:p w14:paraId="492F81FD">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d．投标人对合同纠纷、事故处理办法未提出异议；</w:t>
            </w:r>
          </w:p>
          <w:p w14:paraId="5581721D">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e．投标人在投标活动中无欺诈行为；</w:t>
            </w:r>
          </w:p>
          <w:p w14:paraId="7D2A8C5F">
            <w:pPr>
              <w:widowControl/>
              <w:snapToGrid w:val="0"/>
              <w:spacing w:line="320" w:lineRule="exact"/>
              <w:jc w:val="left"/>
              <w:textAlignment w:val="baseline"/>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f．投标人未对合同条款有重要保留。</w:t>
            </w:r>
          </w:p>
          <w:p w14:paraId="225295C9">
            <w:pPr>
              <w:widowControl/>
              <w:snapToGrid w:val="0"/>
              <w:spacing w:line="320" w:lineRule="exact"/>
              <w:jc w:val="left"/>
              <w:rPr>
                <w:rFonts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 xml:space="preserve">第一个信封（技术文件）评审标准（暗标）： </w:t>
            </w:r>
          </w:p>
          <w:p w14:paraId="331A0DB0">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技术部分</w:t>
            </w:r>
            <w:r>
              <w:rPr>
                <w:rFonts w:hint="eastAsia" w:ascii="宋体" w:hAnsi="宋体" w:eastAsia="宋体" w:cs="宋体"/>
                <w:color w:val="000000"/>
                <w:szCs w:val="21"/>
                <w:highlight w:val="none"/>
              </w:rPr>
              <w:t>（供货方案）</w:t>
            </w:r>
            <w:r>
              <w:rPr>
                <w:rFonts w:hint="eastAsia" w:ascii="宋体" w:hAnsi="宋体" w:eastAsia="宋体" w:cs="宋体"/>
                <w:color w:val="000000"/>
                <w:kern w:val="0"/>
                <w:szCs w:val="21"/>
                <w:highlight w:val="none"/>
              </w:rPr>
              <w:t>（暗标）编制符合招标文件第二章“投标人须知”第 3.7.3 款的规定。</w:t>
            </w:r>
          </w:p>
          <w:p w14:paraId="24766B56">
            <w:pPr>
              <w:widowControl/>
              <w:snapToGrid w:val="0"/>
              <w:spacing w:line="320" w:lineRule="exact"/>
              <w:jc w:val="left"/>
              <w:rPr>
                <w:rFonts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rPr>
              <w:t>第二个信封（报价文件）评审标准：</w:t>
            </w:r>
          </w:p>
          <w:p w14:paraId="48C9B0EF">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（1）投标文件按照招标文件规定的格式、内容填写，字迹清晰可辨：</w:t>
            </w:r>
          </w:p>
          <w:p w14:paraId="4643D338">
            <w:pPr>
              <w:snapToGrid w:val="0"/>
              <w:spacing w:line="320" w:lineRule="exact"/>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a.投标函按照招标文件规定填报了招标人名称、项目名称、补遗书编号（如有）、投标报价（包括大写金额和小写金额）；</w:t>
            </w:r>
          </w:p>
          <w:p w14:paraId="5900050B">
            <w:pPr>
              <w:snapToGrid w:val="0"/>
              <w:spacing w:line="320" w:lineRule="exact"/>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b.分项报价表说明文字与招标文件规定一致，未对实质性内容进行修改和删除。</w:t>
            </w:r>
          </w:p>
          <w:p w14:paraId="20531A74">
            <w:pPr>
              <w:snapToGrid w:val="0"/>
              <w:spacing w:line="320" w:lineRule="exact"/>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c.投标文件组成齐全完整，内容均按规定填写。</w:t>
            </w:r>
          </w:p>
          <w:p w14:paraId="6744CB8F">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（2）投标文件上法定代表人或委托代理人的签字、投标人的单位章盖章齐全，符合招标文件规定。</w:t>
            </w:r>
          </w:p>
          <w:p w14:paraId="120EFD25">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（3）投标报价未超过招标文件设定的最高投标限价。</w:t>
            </w:r>
          </w:p>
          <w:p w14:paraId="6B7F17A4">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（4）投标报价的大写金额能够确定具体数值。</w:t>
            </w:r>
          </w:p>
          <w:p w14:paraId="61A754D8">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（5）同一投标人未提交两个以上不同的投标报价。</w:t>
            </w:r>
          </w:p>
          <w:p w14:paraId="0F21AF09">
            <w:pPr>
              <w:snapToGrid w:val="0"/>
              <w:spacing w:line="320" w:lineRule="exac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（6）分项报价表中投标报价与投标函大写报价金额一致。</w:t>
            </w:r>
          </w:p>
        </w:tc>
      </w:tr>
      <w:tr w14:paraId="3F17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vAlign w:val="center"/>
          </w:tcPr>
          <w:p w14:paraId="3489CAAD">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2.1.2</w:t>
            </w:r>
          </w:p>
        </w:tc>
        <w:tc>
          <w:tcPr>
            <w:tcW w:w="1317" w:type="dxa"/>
            <w:vAlign w:val="center"/>
          </w:tcPr>
          <w:p w14:paraId="48956C5C">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资格评审标准</w:t>
            </w:r>
          </w:p>
        </w:tc>
        <w:tc>
          <w:tcPr>
            <w:tcW w:w="7197" w:type="dxa"/>
            <w:vAlign w:val="center"/>
          </w:tcPr>
          <w:p w14:paraId="43664441">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（1）投标人具备有效的营业执照、基本账户开户许可证（或基本存款账户信息）；</w:t>
            </w:r>
          </w:p>
          <w:p w14:paraId="0F8F83C5">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（2）投标人的资质符合招标文件规定；</w:t>
            </w:r>
          </w:p>
          <w:p w14:paraId="0E3F5131">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（3）投标人的业绩符合招标文件规定；</w:t>
            </w:r>
          </w:p>
          <w:p w14:paraId="23FBE35F">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（4）投标人的信誉符合招标文件规定；</w:t>
            </w:r>
          </w:p>
          <w:p w14:paraId="37BF5A80">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（5）投标人不存在第二章“投标人须知”第1.4.3项规定的任何一种情形。</w:t>
            </w:r>
          </w:p>
        </w:tc>
      </w:tr>
      <w:tr w14:paraId="641A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5E05922F">
            <w:pPr>
              <w:widowControl/>
              <w:adjustRightInd w:val="0"/>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条款号</w:t>
            </w:r>
          </w:p>
        </w:tc>
        <w:tc>
          <w:tcPr>
            <w:tcW w:w="1317" w:type="dxa"/>
            <w:vAlign w:val="center"/>
          </w:tcPr>
          <w:p w14:paraId="259F0C15">
            <w:pPr>
              <w:widowControl/>
              <w:adjustRightInd w:val="0"/>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条款内容</w:t>
            </w:r>
          </w:p>
        </w:tc>
        <w:tc>
          <w:tcPr>
            <w:tcW w:w="7197" w:type="dxa"/>
            <w:vAlign w:val="center"/>
          </w:tcPr>
          <w:p w14:paraId="67C11BFB">
            <w:pPr>
              <w:widowControl/>
              <w:adjustRightInd w:val="0"/>
              <w:snapToGrid w:val="0"/>
              <w:spacing w:line="320" w:lineRule="exact"/>
              <w:jc w:val="center"/>
              <w:rPr>
                <w:rFonts w:ascii="宋体" w:hAnsi="宋体" w:eastAsia="宋体" w:cs="宋体"/>
                <w:b/>
                <w:color w:val="000000"/>
                <w:kern w:val="0"/>
                <w:szCs w:val="21"/>
                <w:highlight w:val="none"/>
              </w:rPr>
            </w:pPr>
            <w:r>
              <w:rPr>
                <w:rFonts w:hint="eastAsia" w:ascii="宋体" w:hAnsi="宋体" w:eastAsia="宋体" w:cs="宋体"/>
                <w:b/>
                <w:color w:val="000000"/>
                <w:kern w:val="0"/>
                <w:szCs w:val="21"/>
                <w:highlight w:val="none"/>
              </w:rPr>
              <w:t>编列内容</w:t>
            </w:r>
          </w:p>
        </w:tc>
      </w:tr>
      <w:tr w14:paraId="1FCA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34D3628D">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2.2.1</w:t>
            </w:r>
          </w:p>
        </w:tc>
        <w:tc>
          <w:tcPr>
            <w:tcW w:w="1317" w:type="dxa"/>
            <w:vAlign w:val="center"/>
          </w:tcPr>
          <w:p w14:paraId="6D5305B8">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第一个信封分值构成</w:t>
            </w:r>
          </w:p>
          <w:p w14:paraId="6E3F3EDD">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（总分100分）</w:t>
            </w:r>
          </w:p>
        </w:tc>
        <w:tc>
          <w:tcPr>
            <w:tcW w:w="7197" w:type="dxa"/>
            <w:vAlign w:val="center"/>
          </w:tcPr>
          <w:p w14:paraId="35F4DDE7">
            <w:pPr>
              <w:widowControl/>
              <w:adjustRightInd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商务部分：20分</w:t>
            </w:r>
          </w:p>
          <w:p w14:paraId="13A356F6">
            <w:pPr>
              <w:widowControl/>
              <w:adjustRightInd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技术部分</w:t>
            </w:r>
            <w:r>
              <w:rPr>
                <w:rFonts w:hint="eastAsia" w:ascii="宋体" w:hAnsi="宋体" w:eastAsia="宋体" w:cs="宋体"/>
                <w:color w:val="000000"/>
                <w:szCs w:val="21"/>
                <w:highlight w:val="none"/>
              </w:rPr>
              <w:t>（供货方案）</w:t>
            </w:r>
            <w:r>
              <w:rPr>
                <w:rFonts w:hint="eastAsia" w:ascii="宋体" w:hAnsi="宋体" w:eastAsia="宋体" w:cs="宋体"/>
                <w:color w:val="000000"/>
                <w:kern w:val="0"/>
                <w:szCs w:val="21"/>
                <w:highlight w:val="none"/>
              </w:rPr>
              <w:t>：80分</w:t>
            </w:r>
          </w:p>
          <w:p w14:paraId="72F46BEC">
            <w:pPr>
              <w:widowControl/>
              <w:adjustRightInd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其他评分因素：0分</w:t>
            </w:r>
          </w:p>
        </w:tc>
      </w:tr>
      <w:tr w14:paraId="2B8F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180FDB4B">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2.2.3</w:t>
            </w:r>
          </w:p>
        </w:tc>
        <w:tc>
          <w:tcPr>
            <w:tcW w:w="1317" w:type="dxa"/>
            <w:vAlign w:val="center"/>
          </w:tcPr>
          <w:p w14:paraId="68F50137">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第二个信封详细评审标准</w:t>
            </w:r>
          </w:p>
        </w:tc>
        <w:tc>
          <w:tcPr>
            <w:tcW w:w="7197" w:type="dxa"/>
            <w:vAlign w:val="center"/>
          </w:tcPr>
          <w:p w14:paraId="7D27C650">
            <w:pPr>
              <w:widowControl/>
              <w:adjustRightInd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评标价计算公式：</w:t>
            </w:r>
          </w:p>
          <w:p w14:paraId="6F6B5108">
            <w:pPr>
              <w:widowControl/>
              <w:adjustRightInd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评标价=投标函文字报价。</w:t>
            </w:r>
          </w:p>
        </w:tc>
      </w:tr>
      <w:tr w14:paraId="67A24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2AFEFF35">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3.2.4</w:t>
            </w:r>
          </w:p>
        </w:tc>
        <w:tc>
          <w:tcPr>
            <w:tcW w:w="1317" w:type="dxa"/>
            <w:vAlign w:val="center"/>
          </w:tcPr>
          <w:p w14:paraId="1D1A5C70">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通过第一个信封详细评审的投标人数量</w:t>
            </w:r>
          </w:p>
        </w:tc>
        <w:tc>
          <w:tcPr>
            <w:tcW w:w="7197" w:type="dxa"/>
            <w:vAlign w:val="center"/>
          </w:tcPr>
          <w:p w14:paraId="62F114A5">
            <w:pPr>
              <w:widowControl/>
              <w:adjustRightInd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按照投标人的综合得分由高到低排序，选择前3</w:t>
            </w:r>
            <w:r>
              <w:rPr>
                <w:rFonts w:hint="eastAsia" w:ascii="宋体" w:hAnsi="宋体" w:eastAsia="宋体" w:cs="宋体"/>
                <w:color w:val="000000"/>
                <w:kern w:val="0"/>
                <w:szCs w:val="21"/>
                <w:highlight w:val="none"/>
                <w:lang w:eastAsia="zh-CN"/>
              </w:rPr>
              <w:t>个</w:t>
            </w:r>
            <w:r>
              <w:rPr>
                <w:rFonts w:hint="eastAsia" w:ascii="宋体" w:hAnsi="宋体" w:eastAsia="宋体" w:cs="宋体"/>
                <w:color w:val="000000"/>
                <w:kern w:val="0"/>
                <w:szCs w:val="21"/>
                <w:highlight w:val="none"/>
              </w:rPr>
              <w:t>进入第二信封评审。</w:t>
            </w:r>
          </w:p>
        </w:tc>
      </w:tr>
      <w:tr w14:paraId="3A60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shd w:val="clear" w:color="auto" w:fill="auto"/>
            <w:vAlign w:val="center"/>
          </w:tcPr>
          <w:p w14:paraId="2B8AE0FC">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3.5</w:t>
            </w:r>
          </w:p>
        </w:tc>
        <w:tc>
          <w:tcPr>
            <w:tcW w:w="8514" w:type="dxa"/>
            <w:gridSpan w:val="2"/>
            <w:shd w:val="clear" w:color="auto" w:fill="auto"/>
            <w:vAlign w:val="center"/>
          </w:tcPr>
          <w:p w14:paraId="75C13160">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本款修改为：</w:t>
            </w:r>
          </w:p>
          <w:p w14:paraId="4605F2E7">
            <w:pPr>
              <w:widowControl/>
              <w:adjustRightInd w:val="0"/>
              <w:snapToGrid w:val="0"/>
              <w:spacing w:line="320" w:lineRule="exact"/>
              <w:jc w:val="both"/>
              <w:rPr>
                <w:rFonts w:ascii="宋体" w:hAnsi="宋体" w:eastAsia="宋体" w:cs="宋体"/>
                <w:color w:val="000000"/>
                <w:kern w:val="0"/>
                <w:szCs w:val="21"/>
                <w:highlight w:val="none"/>
              </w:rPr>
            </w:pPr>
            <w:r>
              <w:rPr>
                <w:rFonts w:hint="eastAsia" w:ascii="宋体" w:hAnsi="宋体" w:eastAsia="宋体" w:cs="宋体"/>
                <w:color w:val="000000"/>
                <w:szCs w:val="21"/>
                <w:highlight w:val="none"/>
              </w:rPr>
              <w:t>评标委员会发现投标人的投标报价低于通过第二信封形式和响应性评审的投标人投标报价平均值的</w:t>
            </w:r>
            <w:r>
              <w:rPr>
                <w:rFonts w:hint="eastAsia" w:ascii="宋体" w:hAnsi="宋体" w:eastAsia="宋体" w:cs="宋体"/>
                <w:color w:val="000000"/>
                <w:szCs w:val="21"/>
                <w:highlight w:val="none"/>
                <w:lang w:val="en-US" w:eastAsia="zh-CN"/>
              </w:rPr>
              <w:t>50</w:t>
            </w:r>
            <w:r>
              <w:rPr>
                <w:rFonts w:hint="eastAsia" w:ascii="宋体" w:hAnsi="宋体" w:eastAsia="宋体" w:cs="宋体"/>
                <w:color w:val="000000"/>
                <w:szCs w:val="21"/>
                <w:highlight w:val="none"/>
              </w:rPr>
              <w:t>%（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E3C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44CC91B4">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3.6.1</w:t>
            </w:r>
          </w:p>
        </w:tc>
        <w:tc>
          <w:tcPr>
            <w:tcW w:w="1317" w:type="dxa"/>
            <w:vAlign w:val="center"/>
          </w:tcPr>
          <w:p w14:paraId="15227252">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bCs/>
                <w:color w:val="000000"/>
                <w:kern w:val="0"/>
                <w:szCs w:val="21"/>
                <w:highlight w:val="none"/>
              </w:rPr>
              <w:t>投标文件相关信息的核查</w:t>
            </w:r>
          </w:p>
        </w:tc>
        <w:tc>
          <w:tcPr>
            <w:tcW w:w="7197" w:type="dxa"/>
            <w:vAlign w:val="center"/>
          </w:tcPr>
          <w:p w14:paraId="41FC21C9">
            <w:pPr>
              <w:autoSpaceDE w:val="0"/>
              <w:autoSpaceDN w:val="0"/>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本款修改为：</w:t>
            </w:r>
          </w:p>
          <w:p w14:paraId="11A57E3D">
            <w:pPr>
              <w:autoSpaceDE w:val="0"/>
              <w:autoSpaceDN w:val="0"/>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lang w:val="en-US" w:eastAsia="zh-CN"/>
              </w:rPr>
              <w:t>1.</w:t>
            </w:r>
            <w:r>
              <w:rPr>
                <w:rFonts w:hint="eastAsia" w:ascii="宋体" w:hAnsi="宋体" w:eastAsia="宋体" w:cs="宋体"/>
                <w:color w:val="000000"/>
                <w:kern w:val="0"/>
                <w:szCs w:val="21"/>
                <w:highlight w:val="none"/>
              </w:rPr>
              <w:t>评标委员会在评标过程中将对投标人的信誉情况进行查询。如投标人存在下列情形之一的，评标委员会应否决其投标。</w:t>
            </w:r>
          </w:p>
          <w:p w14:paraId="5155133F">
            <w:pPr>
              <w:autoSpaceDE w:val="0"/>
              <w:autoSpaceDN w:val="0"/>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（1）在国家企业信用信息公示系统（https://www.gsxt.gov.cn/）中被列入严重违法失信名单（黑名单）（不含分公司）；</w:t>
            </w:r>
          </w:p>
          <w:p w14:paraId="3BD3BF26">
            <w:pPr>
              <w:autoSpaceDE w:val="0"/>
              <w:autoSpaceDN w:val="0"/>
              <w:snapToGrid w:val="0"/>
              <w:spacing w:line="320" w:lineRule="exact"/>
              <w:ind w:firstLine="420" w:firstLineChars="200"/>
              <w:jc w:val="left"/>
              <w:rPr>
                <w:rFonts w:hint="eastAsia" w:ascii="宋体" w:hAnsi="宋体" w:eastAsia="宋体" w:cs="宋体"/>
                <w:color w:val="000000"/>
                <w:kern w:val="0"/>
                <w:szCs w:val="21"/>
                <w:highlight w:val="none"/>
                <w:lang w:eastAsia="zh-CN"/>
              </w:rPr>
            </w:pPr>
            <w:r>
              <w:rPr>
                <w:rFonts w:hint="eastAsia" w:ascii="宋体" w:hAnsi="宋体" w:eastAsia="宋体" w:cs="宋体"/>
                <w:color w:val="000000"/>
                <w:kern w:val="0"/>
                <w:szCs w:val="21"/>
                <w:highlight w:val="none"/>
              </w:rPr>
              <w:t>（2）在“信用中国”网站（http://www.creditchina.gov.cn/）中被列入</w:t>
            </w:r>
            <w:r>
              <w:rPr>
                <w:rFonts w:hint="eastAsia" w:ascii="宋体" w:hAnsi="宋体" w:eastAsia="宋体" w:cs="宋体"/>
                <w:color w:val="000000"/>
                <w:szCs w:val="21"/>
                <w:highlight w:val="none"/>
              </w:rPr>
              <w:t>失信被执行人、</w:t>
            </w:r>
            <w:r>
              <w:rPr>
                <w:rFonts w:hint="eastAsia" w:ascii="宋体" w:hAnsi="宋体" w:eastAsia="宋体" w:cs="宋体"/>
                <w:color w:val="000000"/>
                <w:kern w:val="0"/>
                <w:szCs w:val="21"/>
                <w:highlight w:val="none"/>
              </w:rPr>
              <w:t>经营（活动）异常名录、重大税收违法失信主体名单和政府采购严重违法失信行为记录名单（均不含分公司）</w:t>
            </w:r>
            <w:r>
              <w:rPr>
                <w:rFonts w:hint="eastAsia" w:ascii="宋体" w:hAnsi="宋体" w:eastAsia="宋体" w:cs="宋体"/>
                <w:color w:val="000000"/>
                <w:kern w:val="0"/>
                <w:szCs w:val="21"/>
                <w:highlight w:val="none"/>
                <w:lang w:eastAsia="zh-CN"/>
              </w:rPr>
              <w:t>。</w:t>
            </w:r>
          </w:p>
          <w:p w14:paraId="746A97C3">
            <w:pPr>
              <w:autoSpaceDE w:val="0"/>
              <w:autoSpaceDN w:val="0"/>
              <w:snapToGrid w:val="0"/>
              <w:spacing w:line="320" w:lineRule="exact"/>
              <w:ind w:firstLine="420" w:firstLineChars="200"/>
              <w:jc w:val="left"/>
              <w:rPr>
                <w:rFonts w:hint="default" w:ascii="宋体" w:hAnsi="宋体" w:eastAsia="宋体" w:cs="宋体"/>
                <w:color w:val="000000"/>
                <w:kern w:val="0"/>
                <w:szCs w:val="21"/>
                <w:highlight w:val="none"/>
                <w:lang w:val="en-US" w:eastAsia="zh-CN"/>
              </w:rPr>
            </w:pPr>
            <w:r>
              <w:rPr>
                <w:rFonts w:hint="eastAsia" w:ascii="宋体" w:hAnsi="宋体" w:eastAsia="宋体" w:cs="宋体"/>
                <w:color w:val="auto"/>
                <w:szCs w:val="21"/>
                <w:highlight w:val="none"/>
              </w:rPr>
              <w:t>2.评标委员会在评标时按照投标人提供的验证方式对电子保函或电子保证保险进行验证。如投标人未提供电子保函或电子保证保险的验证方式，或根据提供的验证方式无法核实或经核实与投标文件所附资料不一致的，评标委员会应否决其投标。</w:t>
            </w:r>
          </w:p>
        </w:tc>
      </w:tr>
      <w:tr w14:paraId="2468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310EDC6E">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3.6.3</w:t>
            </w:r>
          </w:p>
        </w:tc>
        <w:tc>
          <w:tcPr>
            <w:tcW w:w="1317" w:type="dxa"/>
            <w:vAlign w:val="center"/>
          </w:tcPr>
          <w:p w14:paraId="233E3747">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投标人异常投标情形的核查</w:t>
            </w:r>
          </w:p>
        </w:tc>
        <w:tc>
          <w:tcPr>
            <w:tcW w:w="7197" w:type="dxa"/>
            <w:vAlign w:val="center"/>
          </w:tcPr>
          <w:p w14:paraId="38FA9242">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补充本款：</w:t>
            </w:r>
          </w:p>
          <w:p w14:paraId="67DECED6">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串通投标情形，并否决其投标。</w:t>
            </w:r>
          </w:p>
          <w:p w14:paraId="5C608BA3">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有下列情形之一的，属于投标文件异常一致或投标活动异常关联等异常投标情形：</w:t>
            </w:r>
          </w:p>
          <w:p w14:paraId="53701E8D">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（1）投标人投标文件制作机器码雷同；</w:t>
            </w:r>
          </w:p>
          <w:p w14:paraId="723DF9F8">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（2）投标文件创建标识码雷同；</w:t>
            </w:r>
          </w:p>
          <w:p w14:paraId="753CEDF7">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（3）投标文件制作计算机MAC地址雷同；</w:t>
            </w:r>
          </w:p>
          <w:p w14:paraId="415C4FDF">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（4）投标文件制作计算机硬盘序列号雷同；</w:t>
            </w:r>
          </w:p>
          <w:p w14:paraId="3BA881A6">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（5）投标文件上传IP地址雷同；</w:t>
            </w:r>
          </w:p>
          <w:p w14:paraId="0C858521">
            <w:pPr>
              <w:widowControl/>
              <w:snapToGrid w:val="0"/>
              <w:spacing w:line="320" w:lineRule="exact"/>
              <w:ind w:firstLine="420" w:firstLineChars="20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（6）投标文件解密IP地址雷同。</w:t>
            </w:r>
          </w:p>
        </w:tc>
      </w:tr>
      <w:tr w14:paraId="6195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916" w:hRule="atLeast"/>
          <w:jc w:val="center"/>
        </w:trPr>
        <w:tc>
          <w:tcPr>
            <w:tcW w:w="1143" w:type="dxa"/>
            <w:vAlign w:val="center"/>
          </w:tcPr>
          <w:p w14:paraId="15CA45B5">
            <w:pPr>
              <w:widowControl/>
              <w:autoSpaceDE w:val="0"/>
              <w:autoSpaceDN w:val="0"/>
              <w:adjustRightInd w:val="0"/>
              <w:snapToGrid w:val="0"/>
              <w:spacing w:line="320" w:lineRule="exact"/>
              <w:ind w:right="-20"/>
              <w:jc w:val="center"/>
              <w:rPr>
                <w:rFonts w:ascii="宋体" w:hAnsi="宋体" w:eastAsia="宋体" w:cs="宋体"/>
                <w:color w:val="000000"/>
                <w:kern w:val="0"/>
                <w:szCs w:val="21"/>
                <w:highlight w:val="none"/>
              </w:rPr>
            </w:pPr>
            <w:r>
              <w:rPr>
                <w:rFonts w:hint="eastAsia" w:ascii="宋体" w:hAnsi="宋体" w:eastAsia="宋体" w:cs="微软雅黑"/>
                <w:color w:val="000000"/>
                <w:kern w:val="0"/>
                <w:szCs w:val="21"/>
                <w:highlight w:val="none"/>
              </w:rPr>
              <w:t>3.8.1</w:t>
            </w:r>
          </w:p>
        </w:tc>
        <w:tc>
          <w:tcPr>
            <w:tcW w:w="1317" w:type="dxa"/>
            <w:vAlign w:val="center"/>
          </w:tcPr>
          <w:p w14:paraId="15BFA369">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Arial"/>
                <w:color w:val="000000"/>
                <w:kern w:val="0"/>
                <w:szCs w:val="21"/>
                <w:highlight w:val="none"/>
              </w:rPr>
              <w:t>中标候选人的确定</w:t>
            </w:r>
          </w:p>
        </w:tc>
        <w:tc>
          <w:tcPr>
            <w:tcW w:w="7197" w:type="dxa"/>
            <w:vAlign w:val="center"/>
          </w:tcPr>
          <w:p w14:paraId="708A3134">
            <w:pPr>
              <w:widowControl/>
              <w:snapToGrid w:val="0"/>
              <w:spacing w:line="320" w:lineRule="exact"/>
              <w:jc w:val="left"/>
              <w:rPr>
                <w:rFonts w:ascii="宋体" w:hAnsi="宋体" w:eastAsia="宋体" w:cs="宋体"/>
                <w:color w:val="000000"/>
                <w:kern w:val="0"/>
                <w:szCs w:val="21"/>
                <w:highlight w:val="none"/>
              </w:rPr>
            </w:pPr>
            <w:r>
              <w:rPr>
                <w:rFonts w:hint="eastAsia" w:ascii="宋体" w:hAnsi="宋体" w:eastAsia="宋体" w:cs="Arial"/>
                <w:color w:val="000000"/>
                <w:kern w:val="0"/>
                <w:szCs w:val="21"/>
                <w:highlight w:val="none"/>
              </w:rPr>
              <w:t>评标委员会按照评标价由低到高的顺序，向招标人推荐1-3</w:t>
            </w:r>
            <w:r>
              <w:rPr>
                <w:rFonts w:hint="eastAsia" w:ascii="宋体" w:hAnsi="宋体" w:eastAsia="宋体" w:cs="Arial"/>
                <w:color w:val="000000"/>
                <w:kern w:val="0"/>
                <w:szCs w:val="21"/>
                <w:highlight w:val="none"/>
                <w:lang w:eastAsia="zh-CN"/>
              </w:rPr>
              <w:t>个</w:t>
            </w:r>
            <w:r>
              <w:rPr>
                <w:rFonts w:hint="eastAsia" w:ascii="宋体" w:hAnsi="宋体" w:eastAsia="宋体" w:cs="Arial"/>
                <w:color w:val="000000"/>
                <w:kern w:val="0"/>
                <w:szCs w:val="21"/>
                <w:highlight w:val="none"/>
              </w:rPr>
              <w:t>中标候选人。</w:t>
            </w:r>
          </w:p>
        </w:tc>
      </w:tr>
    </w:tbl>
    <w:p w14:paraId="64F6DB10">
      <w:pPr>
        <w:widowControl/>
        <w:jc w:val="left"/>
        <w:rPr>
          <w:rFonts w:ascii="宋体" w:hAnsi="宋体" w:eastAsia="宋体" w:cs="Arial"/>
          <w:color w:val="000000"/>
          <w:kern w:val="0"/>
          <w:szCs w:val="21"/>
          <w:highlight w:val="none"/>
        </w:rPr>
      </w:pPr>
      <w:r>
        <w:rPr>
          <w:rFonts w:ascii="宋体" w:hAnsi="宋体" w:eastAsia="宋体" w:cs="Arial"/>
          <w:color w:val="000000"/>
          <w:kern w:val="0"/>
          <w:szCs w:val="21"/>
          <w:highlight w:val="none"/>
        </w:rPr>
        <w:br w:type="page"/>
      </w:r>
    </w:p>
    <w:p w14:paraId="2B035A14">
      <w:pPr>
        <w:widowControl/>
        <w:adjustRightInd w:val="0"/>
        <w:snapToGrid w:val="0"/>
        <w:spacing w:line="360" w:lineRule="auto"/>
        <w:jc w:val="left"/>
        <w:textAlignment w:val="baseline"/>
        <w:rPr>
          <w:rFonts w:ascii="宋体" w:hAnsi="宋体" w:eastAsia="等线" w:cs="Arial"/>
          <w:b/>
          <w:bCs/>
          <w:snapToGrid w:val="0"/>
          <w:color w:val="000000"/>
          <w:kern w:val="0"/>
          <w:szCs w:val="21"/>
          <w:highlight w:val="none"/>
        </w:rPr>
      </w:pPr>
      <w:r>
        <w:rPr>
          <w:rFonts w:hint="eastAsia" w:ascii="宋体" w:hAnsi="宋体" w:eastAsia="等线" w:cs="Arial"/>
          <w:b/>
          <w:bCs/>
          <w:snapToGrid w:val="0"/>
          <w:color w:val="000000"/>
          <w:kern w:val="0"/>
          <w:szCs w:val="21"/>
          <w:highlight w:val="none"/>
        </w:rPr>
        <w:t>评分标准</w:t>
      </w:r>
    </w:p>
    <w:tbl>
      <w:tblPr>
        <w:tblStyle w:val="4"/>
        <w:tblpPr w:leftFromText="180" w:rightFromText="180" w:vertAnchor="text" w:tblpXSpec="center" w:tblpY="1"/>
        <w:tblOverlap w:val="never"/>
        <w:tblW w:w="97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064"/>
        <w:gridCol w:w="1136"/>
        <w:gridCol w:w="864"/>
        <w:gridCol w:w="5914"/>
      </w:tblGrid>
      <w:tr w14:paraId="7D32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12" w:type="dxa"/>
            <w:vAlign w:val="center"/>
          </w:tcPr>
          <w:p w14:paraId="2B9DBCDF">
            <w:pPr>
              <w:snapToGrid w:val="0"/>
              <w:spacing w:line="320" w:lineRule="exact"/>
              <w:jc w:val="center"/>
              <w:textAlignment w:val="baseline"/>
              <w:rPr>
                <w:rFonts w:ascii="宋体" w:hAnsi="宋体" w:eastAsia="宋体" w:cs="宋体"/>
                <w:color w:val="000000"/>
                <w:kern w:val="0"/>
                <w:szCs w:val="21"/>
                <w:highlight w:val="none"/>
              </w:rPr>
            </w:pPr>
            <w:r>
              <w:rPr>
                <w:rFonts w:hint="eastAsia" w:ascii="宋体" w:hAnsi="宋体" w:eastAsia="宋体" w:cs="宋体"/>
                <w:color w:val="000000"/>
                <w:szCs w:val="21"/>
                <w:highlight w:val="none"/>
              </w:rPr>
              <w:t>条款号</w:t>
            </w:r>
          </w:p>
        </w:tc>
        <w:tc>
          <w:tcPr>
            <w:tcW w:w="1064" w:type="dxa"/>
            <w:vAlign w:val="center"/>
          </w:tcPr>
          <w:p w14:paraId="2543CD83">
            <w:pPr>
              <w:snapToGrid w:val="0"/>
              <w:spacing w:line="320" w:lineRule="exact"/>
              <w:jc w:val="center"/>
              <w:textAlignment w:val="baseline"/>
              <w:rPr>
                <w:rFonts w:ascii="宋体" w:hAnsi="宋体" w:eastAsia="宋体" w:cs="宋体"/>
                <w:color w:val="000000"/>
                <w:szCs w:val="21"/>
                <w:highlight w:val="none"/>
              </w:rPr>
            </w:pPr>
            <w:r>
              <w:rPr>
                <w:rFonts w:hint="eastAsia" w:ascii="宋体" w:hAnsi="宋体" w:eastAsia="宋体" w:cs="宋体"/>
                <w:color w:val="000000"/>
                <w:szCs w:val="21"/>
                <w:highlight w:val="none"/>
              </w:rPr>
              <w:t>评分</w:t>
            </w:r>
          </w:p>
          <w:p w14:paraId="7DB3F902">
            <w:pPr>
              <w:snapToGrid w:val="0"/>
              <w:spacing w:line="320" w:lineRule="exact"/>
              <w:jc w:val="center"/>
              <w:textAlignment w:val="baseline"/>
              <w:rPr>
                <w:rFonts w:ascii="宋体" w:hAnsi="宋体" w:eastAsia="宋体" w:cs="宋体"/>
                <w:color w:val="000000"/>
                <w:szCs w:val="21"/>
                <w:highlight w:val="none"/>
              </w:rPr>
            </w:pPr>
            <w:r>
              <w:rPr>
                <w:rFonts w:hint="eastAsia" w:ascii="宋体" w:hAnsi="宋体" w:eastAsia="宋体" w:cs="宋体"/>
                <w:color w:val="000000"/>
                <w:szCs w:val="21"/>
                <w:highlight w:val="none"/>
              </w:rPr>
              <w:t>因素</w:t>
            </w:r>
          </w:p>
        </w:tc>
        <w:tc>
          <w:tcPr>
            <w:tcW w:w="1136" w:type="dxa"/>
            <w:vAlign w:val="center"/>
          </w:tcPr>
          <w:p w14:paraId="4B5AB9DB">
            <w:pPr>
              <w:widowControl/>
              <w:adjustRightInd w:val="0"/>
              <w:snapToGrid w:val="0"/>
              <w:spacing w:line="320" w:lineRule="exact"/>
              <w:jc w:val="center"/>
              <w:rPr>
                <w:rFonts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rPr>
              <w:t>评分因素</w:t>
            </w:r>
          </w:p>
        </w:tc>
        <w:tc>
          <w:tcPr>
            <w:tcW w:w="864" w:type="dxa"/>
            <w:vAlign w:val="center"/>
          </w:tcPr>
          <w:p w14:paraId="05C4D110">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spacing w:val="-3"/>
                <w:kern w:val="0"/>
                <w:szCs w:val="21"/>
                <w:highlight w:val="none"/>
              </w:rPr>
              <w:t>分</w:t>
            </w:r>
            <w:r>
              <w:rPr>
                <w:rFonts w:hint="eastAsia" w:ascii="宋体" w:hAnsi="宋体" w:eastAsia="宋体" w:cs="宋体"/>
                <w:color w:val="000000"/>
                <w:spacing w:val="-2"/>
                <w:kern w:val="0"/>
                <w:szCs w:val="21"/>
                <w:highlight w:val="none"/>
              </w:rPr>
              <w:t>值</w:t>
            </w:r>
          </w:p>
        </w:tc>
        <w:tc>
          <w:tcPr>
            <w:tcW w:w="5914" w:type="dxa"/>
            <w:vAlign w:val="center"/>
          </w:tcPr>
          <w:p w14:paraId="7CD9921D">
            <w:pPr>
              <w:widowControl/>
              <w:snapToGrid w:val="0"/>
              <w:spacing w:line="320" w:lineRule="exact"/>
              <w:jc w:val="center"/>
              <w:rPr>
                <w:rFonts w:ascii="宋体" w:hAnsi="宋体" w:eastAsia="宋体" w:cs="宋体"/>
                <w:color w:val="000000"/>
                <w:spacing w:val="-3"/>
                <w:kern w:val="0"/>
                <w:szCs w:val="21"/>
                <w:highlight w:val="none"/>
              </w:rPr>
            </w:pPr>
            <w:r>
              <w:rPr>
                <w:rFonts w:hint="eastAsia" w:ascii="宋体" w:hAnsi="宋体" w:eastAsia="宋体" w:cs="宋体"/>
                <w:color w:val="000000"/>
                <w:spacing w:val="-1"/>
                <w:kern w:val="0"/>
                <w:szCs w:val="21"/>
                <w:highlight w:val="none"/>
              </w:rPr>
              <w:t>评分</w:t>
            </w:r>
            <w:r>
              <w:rPr>
                <w:rFonts w:hint="eastAsia" w:ascii="宋体" w:hAnsi="宋体" w:eastAsia="宋体" w:cs="宋体"/>
                <w:color w:val="000000"/>
                <w:kern w:val="0"/>
                <w:szCs w:val="21"/>
                <w:highlight w:val="none"/>
              </w:rPr>
              <w:t>标准</w:t>
            </w:r>
          </w:p>
        </w:tc>
      </w:tr>
      <w:tr w14:paraId="2B2D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812" w:type="dxa"/>
            <w:vMerge w:val="restart"/>
            <w:vAlign w:val="center"/>
          </w:tcPr>
          <w:p w14:paraId="2DF1E49D">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2.2.2</w:t>
            </w:r>
          </w:p>
          <w:p w14:paraId="75CE7EDB">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(1)</w:t>
            </w:r>
          </w:p>
        </w:tc>
        <w:tc>
          <w:tcPr>
            <w:tcW w:w="1064" w:type="dxa"/>
            <w:vMerge w:val="restart"/>
            <w:vAlign w:val="center"/>
          </w:tcPr>
          <w:p w14:paraId="6D50BACC">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商务部分</w:t>
            </w:r>
          </w:p>
          <w:p w14:paraId="6A687F2B">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（20分）</w:t>
            </w:r>
          </w:p>
        </w:tc>
        <w:tc>
          <w:tcPr>
            <w:tcW w:w="1136" w:type="dxa"/>
            <w:vMerge w:val="restart"/>
            <w:vAlign w:val="center"/>
          </w:tcPr>
          <w:p w14:paraId="70F68FA7">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业绩</w:t>
            </w:r>
          </w:p>
        </w:tc>
        <w:tc>
          <w:tcPr>
            <w:tcW w:w="864" w:type="dxa"/>
            <w:vMerge w:val="restart"/>
            <w:vAlign w:val="center"/>
          </w:tcPr>
          <w:p w14:paraId="20410409">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20分</w:t>
            </w:r>
          </w:p>
        </w:tc>
        <w:tc>
          <w:tcPr>
            <w:tcW w:w="5914" w:type="dxa"/>
            <w:vAlign w:val="center"/>
          </w:tcPr>
          <w:p w14:paraId="2AD8241A">
            <w:pPr>
              <w:widowControl/>
              <w:snapToGrid w:val="0"/>
              <w:spacing w:line="320" w:lineRule="exact"/>
              <w:ind w:right="113"/>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满足资格审查条件(业绩最低要求)得12分；</w:t>
            </w:r>
          </w:p>
        </w:tc>
      </w:tr>
      <w:tr w14:paraId="2D08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812" w:type="dxa"/>
            <w:vMerge w:val="continue"/>
            <w:vAlign w:val="center"/>
          </w:tcPr>
          <w:p w14:paraId="038054D5">
            <w:pPr>
              <w:widowControl/>
              <w:snapToGrid w:val="0"/>
              <w:spacing w:line="320" w:lineRule="exact"/>
              <w:jc w:val="center"/>
              <w:rPr>
                <w:rFonts w:ascii="宋体" w:hAnsi="宋体" w:eastAsia="宋体" w:cs="宋体"/>
                <w:color w:val="000000"/>
                <w:kern w:val="0"/>
                <w:szCs w:val="21"/>
                <w:highlight w:val="none"/>
              </w:rPr>
            </w:pPr>
          </w:p>
        </w:tc>
        <w:tc>
          <w:tcPr>
            <w:tcW w:w="1064" w:type="dxa"/>
            <w:vMerge w:val="continue"/>
            <w:vAlign w:val="center"/>
          </w:tcPr>
          <w:p w14:paraId="3D346F76">
            <w:pPr>
              <w:widowControl/>
              <w:snapToGrid w:val="0"/>
              <w:spacing w:line="320" w:lineRule="exact"/>
              <w:jc w:val="center"/>
              <w:rPr>
                <w:rFonts w:ascii="宋体" w:hAnsi="宋体" w:eastAsia="宋体" w:cs="宋体"/>
                <w:color w:val="000000"/>
                <w:kern w:val="0"/>
                <w:szCs w:val="21"/>
                <w:highlight w:val="none"/>
              </w:rPr>
            </w:pPr>
          </w:p>
        </w:tc>
        <w:tc>
          <w:tcPr>
            <w:tcW w:w="1136" w:type="dxa"/>
            <w:vMerge w:val="continue"/>
            <w:vAlign w:val="center"/>
          </w:tcPr>
          <w:p w14:paraId="6C092392">
            <w:pPr>
              <w:widowControl/>
              <w:adjustRightInd w:val="0"/>
              <w:snapToGrid w:val="0"/>
              <w:spacing w:line="320" w:lineRule="exact"/>
              <w:jc w:val="center"/>
              <w:rPr>
                <w:rFonts w:ascii="宋体" w:hAnsi="宋体" w:eastAsia="宋体" w:cs="宋体"/>
                <w:color w:val="000000"/>
                <w:kern w:val="0"/>
                <w:szCs w:val="21"/>
                <w:highlight w:val="none"/>
              </w:rPr>
            </w:pPr>
          </w:p>
        </w:tc>
        <w:tc>
          <w:tcPr>
            <w:tcW w:w="864" w:type="dxa"/>
            <w:vMerge w:val="continue"/>
            <w:vAlign w:val="center"/>
          </w:tcPr>
          <w:p w14:paraId="5FCB468C">
            <w:pPr>
              <w:widowControl/>
              <w:snapToGrid w:val="0"/>
              <w:spacing w:line="320" w:lineRule="exact"/>
              <w:jc w:val="center"/>
              <w:rPr>
                <w:rFonts w:ascii="宋体" w:hAnsi="宋体" w:eastAsia="宋体" w:cs="宋体"/>
                <w:color w:val="000000"/>
                <w:kern w:val="0"/>
                <w:szCs w:val="21"/>
                <w:highlight w:val="none"/>
              </w:rPr>
            </w:pPr>
          </w:p>
        </w:tc>
        <w:tc>
          <w:tcPr>
            <w:tcW w:w="5914" w:type="dxa"/>
            <w:vAlign w:val="center"/>
          </w:tcPr>
          <w:p w14:paraId="48639BC3">
            <w:pPr>
              <w:widowControl/>
              <w:snapToGrid w:val="0"/>
              <w:spacing w:line="320" w:lineRule="exact"/>
              <w:ind w:right="113"/>
              <w:rPr>
                <w:rFonts w:ascii="宋体" w:hAnsi="宋体" w:eastAsia="宋体" w:cs="宋体"/>
                <w:color w:val="000000"/>
                <w:kern w:val="0"/>
                <w:szCs w:val="21"/>
                <w:highlight w:val="none"/>
              </w:rPr>
            </w:pPr>
            <w:r>
              <w:rPr>
                <w:rFonts w:hint="eastAsia" w:ascii="Times New Roman" w:hAnsi="Times New Roman" w:eastAsia="宋体" w:cs="Times New Roman"/>
                <w:color w:val="000000"/>
                <w:kern w:val="2"/>
                <w:sz w:val="21"/>
                <w:szCs w:val="22"/>
                <w:highlight w:val="none"/>
                <w:lang w:val="en-US" w:eastAsia="zh-CN" w:bidi="ar-SA"/>
              </w:rPr>
              <w:t>投标人近3年内(2023年10月1日至投标截止时间，以合同签订时间为准)，</w:t>
            </w:r>
            <w:r>
              <w:rPr>
                <w:rFonts w:hint="eastAsia" w:ascii="宋体" w:hAnsi="宋体" w:eastAsia="宋体" w:cs="宋体"/>
                <w:color w:val="000000"/>
                <w:kern w:val="0"/>
                <w:szCs w:val="21"/>
                <w:highlight w:val="none"/>
              </w:rPr>
              <w:t>每增加1套所投品牌的车载缓冲垫或1台防撞缓冲车（含所投品牌的车载缓冲垫）的供货业绩加</w:t>
            </w:r>
            <w:r>
              <w:rPr>
                <w:rFonts w:ascii="宋体" w:hAnsi="宋体" w:eastAsia="宋体" w:cs="宋体"/>
                <w:color w:val="000000"/>
                <w:kern w:val="0"/>
                <w:szCs w:val="21"/>
                <w:highlight w:val="none"/>
              </w:rPr>
              <w:t>2</w:t>
            </w:r>
            <w:r>
              <w:rPr>
                <w:rFonts w:hint="eastAsia" w:ascii="宋体" w:hAnsi="宋体" w:eastAsia="宋体" w:cs="宋体"/>
                <w:color w:val="000000"/>
                <w:kern w:val="0"/>
                <w:szCs w:val="21"/>
                <w:highlight w:val="none"/>
              </w:rPr>
              <w:t>分，最多加8分。</w:t>
            </w:r>
          </w:p>
        </w:tc>
      </w:tr>
      <w:tr w14:paraId="297B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812" w:type="dxa"/>
            <w:vMerge w:val="restart"/>
            <w:vAlign w:val="center"/>
          </w:tcPr>
          <w:p w14:paraId="44D26093">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2.2.2</w:t>
            </w:r>
          </w:p>
          <w:p w14:paraId="45D3EEF7">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w:t>
            </w:r>
          </w:p>
        </w:tc>
        <w:tc>
          <w:tcPr>
            <w:tcW w:w="1064" w:type="dxa"/>
            <w:vMerge w:val="restart"/>
            <w:vAlign w:val="center"/>
          </w:tcPr>
          <w:p w14:paraId="3A9C80D8">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技术部分</w:t>
            </w:r>
            <w:r>
              <w:rPr>
                <w:rFonts w:hint="eastAsia" w:ascii="宋体" w:hAnsi="宋体" w:eastAsia="宋体" w:cs="宋体"/>
                <w:color w:val="000000"/>
                <w:szCs w:val="21"/>
                <w:highlight w:val="none"/>
              </w:rPr>
              <w:t>（供货方案）</w:t>
            </w:r>
          </w:p>
          <w:p w14:paraId="10344433">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（80分）</w:t>
            </w:r>
          </w:p>
        </w:tc>
        <w:tc>
          <w:tcPr>
            <w:tcW w:w="1136" w:type="dxa"/>
            <w:vAlign w:val="center"/>
          </w:tcPr>
          <w:p w14:paraId="5F9FA0DB">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投标设备整体评价</w:t>
            </w:r>
          </w:p>
        </w:tc>
        <w:tc>
          <w:tcPr>
            <w:tcW w:w="864" w:type="dxa"/>
            <w:vAlign w:val="center"/>
          </w:tcPr>
          <w:p w14:paraId="649DCBD5">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20分</w:t>
            </w:r>
          </w:p>
        </w:tc>
        <w:tc>
          <w:tcPr>
            <w:tcW w:w="5914" w:type="dxa"/>
            <w:vAlign w:val="center"/>
          </w:tcPr>
          <w:p w14:paraId="44836EED">
            <w:pPr>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1.设备整体性能优越、功能齐全、完善，与工作装置匹配度高，自动化水平高，完全满足招标文件要求，得16-20分；</w:t>
            </w:r>
          </w:p>
          <w:p w14:paraId="712F03EB">
            <w:pPr>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2.设备整体性能较高、功能较齐全、较完善，与工作装置匹配度较高，自动化水平较高，满足招标文件要求，得12-16分；</w:t>
            </w:r>
          </w:p>
          <w:p w14:paraId="3A9B5604">
            <w:pPr>
              <w:autoSpaceDE w:val="0"/>
              <w:autoSpaceDN w:val="0"/>
              <w:adjustRightInd w:val="0"/>
              <w:snapToGrid w:val="0"/>
              <w:spacing w:line="320" w:lineRule="exac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3.设备整体性能一般，功能一般、与工作装置匹配度一般，自动化水平一般，基本满足招标文件要求，得12分。</w:t>
            </w:r>
          </w:p>
        </w:tc>
      </w:tr>
      <w:tr w14:paraId="1706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812" w:type="dxa"/>
            <w:vMerge w:val="continue"/>
            <w:vAlign w:val="center"/>
          </w:tcPr>
          <w:p w14:paraId="63A08249">
            <w:pPr>
              <w:widowControl/>
              <w:snapToGrid w:val="0"/>
              <w:spacing w:line="320" w:lineRule="exact"/>
              <w:jc w:val="center"/>
              <w:rPr>
                <w:rFonts w:ascii="宋体" w:hAnsi="宋体" w:eastAsia="宋体" w:cs="宋体"/>
                <w:color w:val="000000"/>
                <w:kern w:val="0"/>
                <w:szCs w:val="21"/>
                <w:highlight w:val="none"/>
              </w:rPr>
            </w:pPr>
          </w:p>
        </w:tc>
        <w:tc>
          <w:tcPr>
            <w:tcW w:w="1064" w:type="dxa"/>
            <w:vMerge w:val="continue"/>
            <w:vAlign w:val="center"/>
          </w:tcPr>
          <w:p w14:paraId="47093C25">
            <w:pPr>
              <w:widowControl/>
              <w:snapToGrid w:val="0"/>
              <w:spacing w:line="320" w:lineRule="exact"/>
              <w:jc w:val="center"/>
              <w:rPr>
                <w:rFonts w:ascii="宋体" w:hAnsi="宋体" w:eastAsia="宋体" w:cs="宋体"/>
                <w:color w:val="000000"/>
                <w:kern w:val="0"/>
                <w:szCs w:val="21"/>
                <w:highlight w:val="none"/>
              </w:rPr>
            </w:pPr>
          </w:p>
        </w:tc>
        <w:tc>
          <w:tcPr>
            <w:tcW w:w="1136" w:type="dxa"/>
            <w:vAlign w:val="center"/>
          </w:tcPr>
          <w:p w14:paraId="1025C70F">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投标设备技术性能指标响应程度</w:t>
            </w:r>
          </w:p>
        </w:tc>
        <w:tc>
          <w:tcPr>
            <w:tcW w:w="864" w:type="dxa"/>
            <w:vAlign w:val="center"/>
          </w:tcPr>
          <w:p w14:paraId="57B0F314">
            <w:pPr>
              <w:widowControl/>
              <w:snapToGrid w:val="0"/>
              <w:spacing w:line="320" w:lineRule="exact"/>
              <w:jc w:val="center"/>
              <w:rPr>
                <w:rFonts w:ascii="宋体" w:hAnsi="宋体" w:eastAsia="宋体" w:cs="宋体"/>
                <w:color w:val="000000"/>
                <w:kern w:val="0"/>
                <w:szCs w:val="21"/>
                <w:highlight w:val="none"/>
                <w:u w:val="single"/>
              </w:rPr>
            </w:pPr>
            <w:r>
              <w:rPr>
                <w:rFonts w:hint="eastAsia" w:ascii="宋体" w:hAnsi="宋体" w:eastAsia="宋体" w:cs="宋体"/>
                <w:color w:val="000000"/>
                <w:kern w:val="0"/>
                <w:szCs w:val="21"/>
                <w:highlight w:val="none"/>
              </w:rPr>
              <w:t>20分</w:t>
            </w:r>
          </w:p>
        </w:tc>
        <w:tc>
          <w:tcPr>
            <w:tcW w:w="5914" w:type="dxa"/>
          </w:tcPr>
          <w:p w14:paraId="0A6D4EEC">
            <w:pPr>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1.投标产品选型合理，功率、质量、尺寸及主要机械组成部件的技术性能参数及功能参数指标高，实用性强、产品设计科学合理、质量可靠，得16-20分；</w:t>
            </w:r>
          </w:p>
          <w:p w14:paraId="3A03DFFF">
            <w:pPr>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2.投标产品选型较合理，功率、质量、尺寸及主要机械组成部件的技术性能参数及功能参数指标较高，实用性较强、产品设计较合理、质量较可靠，得12-16分；</w:t>
            </w:r>
          </w:p>
          <w:p w14:paraId="1B61FBEB">
            <w:pPr>
              <w:autoSpaceDE w:val="0"/>
              <w:autoSpaceDN w:val="0"/>
              <w:adjustRightInd w:val="0"/>
              <w:snapToGrid w:val="0"/>
              <w:spacing w:line="320" w:lineRule="exac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3.投标产品选型一般，功率、质量、尺寸及主要机械组成部件的技术性能参数及功能参数指标一般，实用性一般、产品设计一般、质量一般，得12分。</w:t>
            </w:r>
          </w:p>
        </w:tc>
      </w:tr>
      <w:tr w14:paraId="246E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jc w:val="center"/>
        </w:trPr>
        <w:tc>
          <w:tcPr>
            <w:tcW w:w="812" w:type="dxa"/>
            <w:vMerge w:val="continue"/>
            <w:vAlign w:val="center"/>
          </w:tcPr>
          <w:p w14:paraId="62824690">
            <w:pPr>
              <w:widowControl/>
              <w:snapToGrid w:val="0"/>
              <w:spacing w:line="320" w:lineRule="exact"/>
              <w:jc w:val="center"/>
              <w:rPr>
                <w:rFonts w:ascii="宋体" w:hAnsi="宋体" w:eastAsia="宋体" w:cs="宋体"/>
                <w:color w:val="000000"/>
                <w:kern w:val="0"/>
                <w:szCs w:val="21"/>
                <w:highlight w:val="none"/>
              </w:rPr>
            </w:pPr>
          </w:p>
        </w:tc>
        <w:tc>
          <w:tcPr>
            <w:tcW w:w="1064" w:type="dxa"/>
            <w:vMerge w:val="continue"/>
            <w:vAlign w:val="center"/>
          </w:tcPr>
          <w:p w14:paraId="61371D8E">
            <w:pPr>
              <w:widowControl/>
              <w:snapToGrid w:val="0"/>
              <w:spacing w:line="320" w:lineRule="exact"/>
              <w:jc w:val="center"/>
              <w:rPr>
                <w:rFonts w:ascii="宋体" w:hAnsi="宋体" w:eastAsia="宋体" w:cs="宋体"/>
                <w:color w:val="000000"/>
                <w:kern w:val="0"/>
                <w:szCs w:val="21"/>
                <w:highlight w:val="none"/>
              </w:rPr>
            </w:pPr>
          </w:p>
        </w:tc>
        <w:tc>
          <w:tcPr>
            <w:tcW w:w="1136" w:type="dxa"/>
            <w:vAlign w:val="center"/>
          </w:tcPr>
          <w:p w14:paraId="33A0D595">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供货能力及进度保障</w:t>
            </w:r>
          </w:p>
          <w:p w14:paraId="46A3886D">
            <w:pPr>
              <w:widowControl/>
              <w:adjustRightInd w:val="0"/>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b/>
                <w:bCs/>
                <w:color w:val="000000"/>
                <w:kern w:val="0"/>
                <w:szCs w:val="21"/>
                <w:highlight w:val="none"/>
              </w:rPr>
              <w:t>（暗标）</w:t>
            </w:r>
          </w:p>
        </w:tc>
        <w:tc>
          <w:tcPr>
            <w:tcW w:w="864" w:type="dxa"/>
            <w:vAlign w:val="center"/>
          </w:tcPr>
          <w:p w14:paraId="296B7513">
            <w:pPr>
              <w:widowControl/>
              <w:snapToGrid w:val="0"/>
              <w:spacing w:line="320" w:lineRule="exact"/>
              <w:ind w:right="113"/>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20分</w:t>
            </w:r>
          </w:p>
        </w:tc>
        <w:tc>
          <w:tcPr>
            <w:tcW w:w="5914" w:type="dxa"/>
          </w:tcPr>
          <w:p w14:paraId="04B1054B">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1.投标人提供的供货计划切实可行、供货能力强、交货进度有保障、能够保质保量的完成供货，针对供货过程中的特殊情况有预案，得16-20分；</w:t>
            </w:r>
          </w:p>
          <w:p w14:paraId="3BE8EF8B">
            <w:pPr>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2.投标人提供的供货计划可行、供货能力较强、交货进度满足招标文件要求，得12-16分；</w:t>
            </w:r>
          </w:p>
          <w:p w14:paraId="4A669BAB">
            <w:pPr>
              <w:snapToGrid w:val="0"/>
              <w:spacing w:line="320" w:lineRule="exac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3.投标人提供的供货计划一般、供货能力一般、交货进度基本满足招标文件要求，得12分。</w:t>
            </w:r>
          </w:p>
        </w:tc>
      </w:tr>
      <w:tr w14:paraId="6FA6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812" w:type="dxa"/>
            <w:vMerge w:val="continue"/>
            <w:vAlign w:val="center"/>
          </w:tcPr>
          <w:p w14:paraId="4DDE3E50">
            <w:pPr>
              <w:widowControl/>
              <w:snapToGrid w:val="0"/>
              <w:spacing w:line="320" w:lineRule="exact"/>
              <w:jc w:val="center"/>
              <w:rPr>
                <w:rFonts w:ascii="宋体" w:hAnsi="宋体" w:eastAsia="宋体" w:cs="宋体"/>
                <w:color w:val="000000"/>
                <w:kern w:val="0"/>
                <w:szCs w:val="21"/>
                <w:highlight w:val="none"/>
              </w:rPr>
            </w:pPr>
          </w:p>
        </w:tc>
        <w:tc>
          <w:tcPr>
            <w:tcW w:w="1064" w:type="dxa"/>
            <w:vMerge w:val="continue"/>
            <w:vAlign w:val="center"/>
          </w:tcPr>
          <w:p w14:paraId="12A06FAF">
            <w:pPr>
              <w:widowControl/>
              <w:snapToGrid w:val="0"/>
              <w:spacing w:line="320" w:lineRule="exact"/>
              <w:jc w:val="center"/>
              <w:rPr>
                <w:rFonts w:ascii="宋体" w:hAnsi="宋体" w:eastAsia="宋体" w:cs="宋体"/>
                <w:color w:val="000000"/>
                <w:kern w:val="0"/>
                <w:szCs w:val="21"/>
                <w:highlight w:val="none"/>
              </w:rPr>
            </w:pPr>
          </w:p>
        </w:tc>
        <w:tc>
          <w:tcPr>
            <w:tcW w:w="1136" w:type="dxa"/>
            <w:vAlign w:val="center"/>
          </w:tcPr>
          <w:p w14:paraId="4DE8D79A">
            <w:pPr>
              <w:autoSpaceDE w:val="0"/>
              <w:autoSpaceDN w:val="0"/>
              <w:snapToGrid w:val="0"/>
              <w:spacing w:line="320" w:lineRule="exact"/>
              <w:jc w:val="center"/>
              <w:rPr>
                <w:rFonts w:ascii="宋体" w:hAnsi="宋体" w:eastAsia="宋体" w:cs="宋体"/>
                <w:color w:val="000000"/>
                <w:szCs w:val="21"/>
                <w:highlight w:val="none"/>
                <w:lang w:val="zh-CN" w:bidi="zh-CN"/>
              </w:rPr>
            </w:pPr>
            <w:r>
              <w:rPr>
                <w:rFonts w:hint="eastAsia" w:ascii="宋体" w:hAnsi="宋体" w:eastAsia="宋体" w:cs="宋体"/>
                <w:color w:val="000000"/>
                <w:szCs w:val="21"/>
                <w:highlight w:val="none"/>
                <w:lang w:val="zh-CN" w:bidi="zh-CN"/>
              </w:rPr>
              <w:t>技术服务及质保期服务</w:t>
            </w:r>
          </w:p>
          <w:p w14:paraId="31969347">
            <w:pPr>
              <w:autoSpaceDE w:val="0"/>
              <w:autoSpaceDN w:val="0"/>
              <w:snapToGrid w:val="0"/>
              <w:spacing w:line="320" w:lineRule="exact"/>
              <w:jc w:val="center"/>
              <w:rPr>
                <w:rFonts w:ascii="宋体" w:hAnsi="宋体" w:eastAsia="宋体" w:cs="宋体"/>
                <w:color w:val="000000"/>
                <w:szCs w:val="21"/>
                <w:highlight w:val="none"/>
                <w:lang w:val="zh-CN" w:bidi="zh-CN"/>
              </w:rPr>
            </w:pPr>
            <w:r>
              <w:rPr>
                <w:rFonts w:hint="eastAsia" w:ascii="宋体" w:hAnsi="宋体" w:eastAsia="宋体" w:cs="宋体"/>
                <w:b/>
                <w:bCs/>
                <w:color w:val="000000"/>
                <w:szCs w:val="21"/>
                <w:highlight w:val="none"/>
                <w:lang w:val="zh-CN" w:bidi="zh-CN"/>
              </w:rPr>
              <w:t>（暗标）</w:t>
            </w:r>
          </w:p>
        </w:tc>
        <w:tc>
          <w:tcPr>
            <w:tcW w:w="864" w:type="dxa"/>
            <w:vAlign w:val="center"/>
          </w:tcPr>
          <w:p w14:paraId="7E6FF088">
            <w:pPr>
              <w:widowControl/>
              <w:snapToGrid w:val="0"/>
              <w:spacing w:line="320" w:lineRule="exact"/>
              <w:ind w:right="113"/>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20分</w:t>
            </w:r>
          </w:p>
        </w:tc>
        <w:tc>
          <w:tcPr>
            <w:tcW w:w="5914" w:type="dxa"/>
            <w:vAlign w:val="center"/>
          </w:tcPr>
          <w:p w14:paraId="2B6004A8">
            <w:pPr>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1.维护保障实施能力强，能够提供有效、稳定、可靠的维修、保养服务，售后服务体系完善且能够很好的服务招标人，得16-20分；</w:t>
            </w:r>
          </w:p>
          <w:p w14:paraId="28E7944F">
            <w:pPr>
              <w:autoSpaceDE w:val="0"/>
              <w:autoSpaceDN w:val="0"/>
              <w:adjustRightInd w:val="0"/>
              <w:snapToGrid w:val="0"/>
              <w:spacing w:line="320" w:lineRule="exact"/>
              <w:rPr>
                <w:rFonts w:ascii="宋体" w:hAnsi="宋体" w:eastAsia="宋体" w:cs="宋体"/>
                <w:color w:val="000000"/>
                <w:szCs w:val="21"/>
                <w:highlight w:val="none"/>
              </w:rPr>
            </w:pPr>
            <w:r>
              <w:rPr>
                <w:rFonts w:hint="eastAsia" w:ascii="宋体" w:hAnsi="宋体" w:eastAsia="宋体" w:cs="宋体"/>
                <w:color w:val="000000"/>
                <w:szCs w:val="21"/>
                <w:highlight w:val="none"/>
              </w:rPr>
              <w:t>2.维护保障实施能力较强，能够提供比较有效、稳定、可靠的维修、保养服务，售后服务体系较完善，能较好的服务招标人，得12-16分；</w:t>
            </w:r>
          </w:p>
          <w:p w14:paraId="67DC6EA5">
            <w:pPr>
              <w:autoSpaceDE w:val="0"/>
              <w:autoSpaceDN w:val="0"/>
              <w:adjustRightInd w:val="0"/>
              <w:snapToGrid w:val="0"/>
              <w:spacing w:line="320" w:lineRule="exact"/>
              <w:rPr>
                <w:rFonts w:ascii="宋体" w:hAnsi="宋体" w:eastAsia="宋体" w:cs="宋体"/>
                <w:color w:val="000000"/>
                <w:kern w:val="0"/>
                <w:szCs w:val="21"/>
                <w:highlight w:val="none"/>
              </w:rPr>
            </w:pPr>
            <w:r>
              <w:rPr>
                <w:rFonts w:hint="eastAsia" w:ascii="宋体" w:hAnsi="宋体" w:eastAsia="宋体" w:cs="宋体"/>
                <w:color w:val="000000"/>
                <w:szCs w:val="21"/>
                <w:highlight w:val="none"/>
              </w:rPr>
              <w:t>3.维护保障实施能力一般，能够提供基本的维修、保养服务得12分。</w:t>
            </w:r>
          </w:p>
        </w:tc>
      </w:tr>
      <w:tr w14:paraId="0223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12" w:type="dxa"/>
            <w:tcBorders>
              <w:bottom w:val="single" w:color="auto" w:sz="4" w:space="0"/>
            </w:tcBorders>
            <w:vAlign w:val="center"/>
          </w:tcPr>
          <w:p w14:paraId="7619873E">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2.2.2</w:t>
            </w:r>
          </w:p>
          <w:p w14:paraId="0D9E6EAF">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(3)</w:t>
            </w:r>
          </w:p>
        </w:tc>
        <w:tc>
          <w:tcPr>
            <w:tcW w:w="1064" w:type="dxa"/>
            <w:tcBorders>
              <w:bottom w:val="single" w:color="auto" w:sz="4" w:space="0"/>
            </w:tcBorders>
            <w:vAlign w:val="center"/>
          </w:tcPr>
          <w:p w14:paraId="2A032BF2">
            <w:pPr>
              <w:widowControl/>
              <w:snapToGrid w:val="0"/>
              <w:spacing w:line="320" w:lineRule="exact"/>
              <w:ind w:left="126" w:hanging="126" w:hangingChars="60"/>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其他评分因素</w:t>
            </w:r>
          </w:p>
        </w:tc>
        <w:tc>
          <w:tcPr>
            <w:tcW w:w="7914" w:type="dxa"/>
            <w:gridSpan w:val="3"/>
            <w:tcBorders>
              <w:bottom w:val="single" w:color="auto" w:sz="4" w:space="0"/>
            </w:tcBorders>
            <w:vAlign w:val="center"/>
          </w:tcPr>
          <w:p w14:paraId="11572AF0">
            <w:pPr>
              <w:widowControl/>
              <w:snapToGrid w:val="0"/>
              <w:spacing w:line="320" w:lineRule="exact"/>
              <w:jc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无</w:t>
            </w:r>
          </w:p>
        </w:tc>
      </w:tr>
    </w:tbl>
    <w:p w14:paraId="453A40A4">
      <w:pPr>
        <w:adjustRightInd w:val="0"/>
        <w:snapToGrid w:val="0"/>
        <w:jc w:val="left"/>
        <w:textAlignment w:val="baseline"/>
        <w:rPr>
          <w:rFonts w:ascii="宋体" w:hAnsi="宋体" w:eastAsia="宋体" w:cs="Times New Roman"/>
          <w:snapToGrid w:val="0"/>
          <w:color w:val="000000"/>
          <w:kern w:val="0"/>
          <w:szCs w:val="21"/>
          <w:highlight w:val="none"/>
        </w:rPr>
      </w:pPr>
      <w:r>
        <w:rPr>
          <w:rFonts w:ascii="宋体" w:hAnsi="宋体" w:eastAsia="宋体" w:cs="Times New Roman"/>
          <w:snapToGrid w:val="0"/>
          <w:color w:val="000000"/>
          <w:kern w:val="0"/>
          <w:szCs w:val="21"/>
          <w:highlight w:val="none"/>
        </w:rPr>
        <w:t>注：</w:t>
      </w:r>
    </w:p>
    <w:p w14:paraId="76FEC6D1">
      <w:pPr>
        <w:adjustRightInd w:val="0"/>
        <w:snapToGrid w:val="0"/>
        <w:jc w:val="left"/>
        <w:textAlignment w:val="baseline"/>
        <w:rPr>
          <w:rFonts w:ascii="宋体" w:hAnsi="宋体" w:eastAsia="宋体" w:cs="Times New Roman"/>
          <w:snapToGrid w:val="0"/>
          <w:color w:val="000000"/>
          <w:kern w:val="0"/>
          <w:szCs w:val="21"/>
          <w:highlight w:val="none"/>
        </w:rPr>
      </w:pPr>
      <w:r>
        <w:rPr>
          <w:rFonts w:ascii="宋体" w:hAnsi="宋体" w:eastAsia="宋体" w:cs="Times New Roman"/>
          <w:snapToGrid w:val="0"/>
          <w:color w:val="000000"/>
          <w:kern w:val="0"/>
          <w:szCs w:val="21"/>
          <w:highlight w:val="none"/>
        </w:rPr>
        <w:t>1、</w:t>
      </w:r>
      <w:r>
        <w:rPr>
          <w:rFonts w:hint="eastAsia" w:ascii="宋体" w:hAnsi="宋体" w:eastAsia="宋体" w:cs="Times New Roman"/>
          <w:snapToGrid w:val="0"/>
          <w:color w:val="000000"/>
          <w:kern w:val="0"/>
          <w:szCs w:val="21"/>
          <w:highlight w:val="none"/>
        </w:rPr>
        <w:t>第2.2.2（2）项</w:t>
      </w:r>
      <w:r>
        <w:rPr>
          <w:rFonts w:ascii="宋体" w:hAnsi="宋体" w:eastAsia="宋体" w:cs="Times New Roman"/>
          <w:snapToGrid w:val="0"/>
          <w:color w:val="000000"/>
          <w:kern w:val="0"/>
          <w:szCs w:val="21"/>
          <w:highlight w:val="none"/>
        </w:rPr>
        <w:t>评委打分保留1位小数</w:t>
      </w:r>
      <w:r>
        <w:rPr>
          <w:rFonts w:hint="eastAsia" w:ascii="宋体" w:hAnsi="宋体" w:eastAsia="宋体" w:cs="Times New Roman"/>
          <w:snapToGrid w:val="0"/>
          <w:color w:val="000000"/>
          <w:kern w:val="0"/>
          <w:szCs w:val="21"/>
          <w:highlight w:val="none"/>
        </w:rPr>
        <w:t>，各评分因素得分应以评标委员会各成员的打分平均值确定，保留两位小数，第三位四舍五入。</w:t>
      </w:r>
    </w:p>
    <w:p w14:paraId="2AD57889">
      <w:r>
        <w:rPr>
          <w:rFonts w:ascii="宋体" w:hAnsi="宋体" w:eastAsia="宋体" w:cs="Times New Roman"/>
          <w:snapToGrid w:val="0"/>
          <w:color w:val="000000"/>
          <w:kern w:val="0"/>
          <w:szCs w:val="21"/>
          <w:highlight w:val="none"/>
        </w:rPr>
        <w:t>2、</w:t>
      </w:r>
      <w:r>
        <w:rPr>
          <w:rFonts w:hint="eastAsia" w:ascii="宋体" w:hAnsi="宋体" w:eastAsia="宋体" w:cs="Times New Roman"/>
          <w:snapToGrid w:val="0"/>
          <w:color w:val="000000"/>
          <w:kern w:val="0"/>
          <w:szCs w:val="21"/>
          <w:highlight w:val="none"/>
        </w:rPr>
        <w:t>第2.2.2（2）项评标委员会成员对某一项评分因素的评分低于权重分值 60%的，应在评标报告中作出说明。评分因素缺项则该项得0分。</w:t>
      </w:r>
    </w:p>
    <w:sectPr>
      <w:headerReference r:id="rId3" w:type="default"/>
      <w:footerReference r:id="rId4" w:type="default"/>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E6772">
    <w:pPr>
      <w:autoSpaceDE w:val="0"/>
      <w:autoSpaceDN w:val="0"/>
      <w:adjustRightInd w:val="0"/>
      <w:spacing w:line="200" w:lineRule="exact"/>
      <w:jc w:val="left"/>
      <w:rPr>
        <w:rFonts w:ascii="Times New Roman" w:hAnsi="Times New Roman" w:eastAsia="宋体" w:cs="Times New Roman"/>
        <w:kern w:val="0"/>
        <w:sz w:val="20"/>
        <w:szCs w:val="20"/>
      </w:rPr>
    </w:pPr>
    <w:r>
      <w:rPr>
        <w:rFonts w:ascii="Times New Roman" w:hAnsi="Times New Roman" w:eastAsia="宋体" w:cs="Times New Roman"/>
        <w:sz w:val="20"/>
        <w:szCs w:val="22"/>
      </w:rPr>
      <mc:AlternateContent>
        <mc:Choice Requires="wps">
          <w:drawing>
            <wp:anchor distT="0" distB="0" distL="114300" distR="114300" simplePos="0" relativeHeight="251660288" behindDoc="0" locked="0" layoutInCell="1" allowOverlap="1">
              <wp:simplePos x="0" y="0"/>
              <wp:positionH relativeFrom="margin">
                <wp:posOffset>2852420</wp:posOffset>
              </wp:positionH>
              <wp:positionV relativeFrom="paragraph">
                <wp:posOffset>3810</wp:posOffset>
              </wp:positionV>
              <wp:extent cx="180975" cy="142875"/>
              <wp:effectExtent l="0" t="0" r="0" b="0"/>
              <wp:wrapNone/>
              <wp:docPr id="7" name="文本框 15"/>
              <wp:cNvGraphicFramePr/>
              <a:graphic xmlns:a="http://schemas.openxmlformats.org/drawingml/2006/main">
                <a:graphicData uri="http://schemas.microsoft.com/office/word/2010/wordprocessingShape">
                  <wps:wsp>
                    <wps:cNvSpPr txBox="1"/>
                    <wps:spPr>
                      <a:xfrm>
                        <a:off x="0" y="0"/>
                        <a:ext cx="180975" cy="142875"/>
                      </a:xfrm>
                      <a:prstGeom prst="rect">
                        <a:avLst/>
                      </a:prstGeom>
                      <a:noFill/>
                      <a:ln>
                        <a:noFill/>
                      </a:ln>
                    </wps:spPr>
                    <wps:txbx>
                      <w:txbxContent>
                        <w:p w14:paraId="41A82E4B">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10</w:t>
                          </w:r>
                          <w:r>
                            <w:rPr>
                              <w:rFonts w:ascii="Times New Roman" w:hAnsi="Times New Roman" w:eastAsia="宋体" w:cs="Times New Roman"/>
                              <w:kern w:val="0"/>
                              <w:sz w:val="18"/>
                              <w:szCs w:val="18"/>
                              <w:lang w:val="en-US" w:eastAsia="zh-CN" w:bidi="ar-SA"/>
                            </w:rPr>
                            <w:fldChar w:fldCharType="end"/>
                          </w:r>
                        </w:p>
                      </w:txbxContent>
                    </wps:txbx>
                    <wps:bodyPr wrap="square" lIns="0" tIns="0" rIns="0" bIns="0" upright="1">
                      <a:noAutofit/>
                    </wps:bodyPr>
                  </wps:wsp>
                </a:graphicData>
              </a:graphic>
            </wp:anchor>
          </w:drawing>
        </mc:Choice>
        <mc:Fallback>
          <w:pict>
            <v:shape id="文本框 15" o:spid="_x0000_s1026" o:spt="202" type="#_x0000_t202" style="position:absolute;left:0pt;margin-left:224.6pt;margin-top:0.3pt;height:11.25pt;width:14.25pt;mso-position-horizontal-relative:margin;z-index:251660288;mso-width-relative:page;mso-height-relative:page;" filled="f" stroked="f" coordsize="21600,21600" o:gfxdata="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Gbd61gAAAAcBAAAPAAAAAAAAAAEAIAAAACIAAABk&#10;cnMvZG93bnJldi54bWxQSwECFAAUAAAACACHTuJAr2S2oc8BAACaAwAADgAAAAAAAAABACAAAAAl&#10;AQAAZHJzL2Uyb0RvYy54bWxQSwUGAAAAAAYABgBZAQAAZgUAAAAA&#10;">
              <v:fill on="f" focussize="0,0"/>
              <v:stroke on="f"/>
              <v:imagedata o:title=""/>
              <o:lock v:ext="edit" aspectratio="f"/>
              <v:textbox inset="0mm,0mm,0mm,0mm">
                <w:txbxContent>
                  <w:p w14:paraId="41A82E4B">
                    <w:pPr>
                      <w:widowControl w:val="0"/>
                      <w:tabs>
                        <w:tab w:val="center" w:pos="4153"/>
                        <w:tab w:val="right" w:pos="8306"/>
                      </w:tabs>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en-US" w:eastAsia="zh-CN" w:bidi="ar-SA"/>
                      </w:rPr>
                      <w:t>10</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E2EB9">
    <w:pPr>
      <w:spacing w:line="222" w:lineRule="auto"/>
      <w:jc w:val="center"/>
      <w:rPr>
        <w:rFonts w:ascii="仿宋" w:hAnsi="仿宋" w:eastAsia="宋体" w:cs="仿宋"/>
        <w:sz w:val="18"/>
        <w:szCs w:val="18"/>
      </w:rPr>
    </w:pPr>
    <w:r>
      <w:rPr>
        <w:rFonts w:ascii="Times New Roman" w:hAnsi="Times New Roman" w:eastAsia="宋体" w:cs="Times New Roman"/>
        <w:sz w:val="18"/>
        <w:szCs w:val="18"/>
      </w:rP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684530</wp:posOffset>
              </wp:positionV>
              <wp:extent cx="5796280" cy="9525"/>
              <wp:effectExtent l="0" t="0" r="0" b="0"/>
              <wp:wrapNone/>
              <wp:docPr id="2" name="任意多边形 5"/>
              <wp:cNvGraphicFramePr/>
              <a:graphic xmlns:a="http://schemas.openxmlformats.org/drawingml/2006/main">
                <a:graphicData uri="http://schemas.microsoft.com/office/word/2010/wordprocessingShape">
                  <wps:wsp>
                    <wps:cNvSpPr/>
                    <wps:spPr>
                      <a:xfrm>
                        <a:off x="0" y="0"/>
                        <a:ext cx="5796280" cy="9525"/>
                      </a:xfrm>
                      <a:custGeom>
                        <a:avLst/>
                        <a:gdLst/>
                        <a:ahLst/>
                        <a:cxnLst/>
                        <a:rect l="0" t="0" r="0" b="0"/>
                        <a:pathLst>
                          <a:path w="9127" h="15">
                            <a:moveTo>
                              <a:pt x="0" y="0"/>
                            </a:moveTo>
                            <a:lnTo>
                              <a:pt x="9127" y="0"/>
                            </a:lnTo>
                            <a:lnTo>
                              <a:pt x="9127" y="14"/>
                            </a:lnTo>
                            <a:lnTo>
                              <a:pt x="0" y="14"/>
                            </a:lnTo>
                            <a:lnTo>
                              <a:pt x="0" y="0"/>
                            </a:lnTo>
                            <a:close/>
                          </a:path>
                        </a:pathLst>
                      </a:custGeom>
                      <a:solidFill>
                        <a:srgbClr val="000000"/>
                      </a:solidFill>
                      <a:ln>
                        <a:noFill/>
                      </a:ln>
                    </wps:spPr>
                    <wps:bodyPr wrap="square" upright="1"/>
                  </wps:wsp>
                </a:graphicData>
              </a:graphic>
            </wp:anchor>
          </w:drawing>
        </mc:Choice>
        <mc:Fallback>
          <w:pict>
            <v:shape id="任意多边形 5" o:spid="_x0000_s1026" o:spt="100" style="position:absolute;left:0pt;margin-left:70.9pt;margin-top:53.9pt;height:0.75pt;width:456.4pt;mso-position-horizontal-relative:page;mso-position-vertical-relative:page;z-index:251659264;mso-width-relative:page;mso-height-relative:page;" fillcolor="#000000" filled="t" stroked="f" coordsize="9127,15" o:allowincell="f" o:gfxdata="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qV8vXAAAA&#10;DAEAAA8AAAAAAAAAAQAgAAAAIgAAAGRycy9kb3ducmV2LnhtbFBLAQIUABQAAAAIAIdO4kChyPHj&#10;HgIAAKoEAAAOAAAAAAAAAAEAIAAAACYBAABkcnMvZTJvRG9jLnhtbFBLBQYAAAAABgAGAFkBAAC2&#10;BQAAAAA=&#10;" path="m0,0l9127,0,9127,14,0,14,0,0xe">
              <v:fill on="t" focussize="0,0"/>
              <v:stroke on="f"/>
              <v:imagedata o:title=""/>
              <o:lock v:ext="edit" aspectratio="f"/>
            </v:shape>
          </w:pict>
        </mc:Fallback>
      </mc:AlternateContent>
    </w:r>
    <w:r>
      <w:rPr>
        <w:rFonts w:hint="eastAsia" w:ascii="Times New Roman" w:hAnsi="Times New Roman" w:eastAsia="宋体" w:cs="Times New Roman"/>
        <w:sz w:val="18"/>
        <w:szCs w:val="18"/>
      </w:rPr>
      <w:t>河北高速公路集团有限公司车载缓冲垫采购项目                                                 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E650C"/>
    <w:multiLevelType w:val="multilevel"/>
    <w:tmpl w:val="4C6E650C"/>
    <w:lvl w:ilvl="0" w:tentative="0">
      <w:start w:val="1"/>
      <w:numFmt w:val="decimal"/>
      <w:pStyle w:val="3"/>
      <w:suff w:val="space"/>
      <w:lvlText w:val="%1."/>
      <w:lvlJc w:val="left"/>
      <w:pPr>
        <w:tabs>
          <w:tab w:val="left" w:pos="0"/>
        </w:tabs>
        <w:ind w:left="0" w:firstLine="0"/>
      </w:pPr>
      <w:rPr>
        <w:rFonts w:hint="default" w:ascii="Times New Roman" w:hAnsi="Times New Roman" w:eastAsia="宋体"/>
        <w:b/>
        <w:i w:val="0"/>
        <w:sz w:val="21"/>
        <w:szCs w:val="21"/>
      </w:rPr>
    </w:lvl>
    <w:lvl w:ilvl="1" w:tentative="0">
      <w:start w:val="1"/>
      <w:numFmt w:val="decimal"/>
      <w:pStyle w:val="2"/>
      <w:suff w:val="space"/>
      <w:lvlText w:val="%1.%2"/>
      <w:lvlJc w:val="left"/>
      <w:pPr>
        <w:tabs>
          <w:tab w:val="left" w:pos="0"/>
        </w:tabs>
        <w:ind w:left="240" w:firstLine="0"/>
      </w:pPr>
      <w:rPr>
        <w:rFonts w:hint="default" w:ascii="Times New Roman" w:hAnsi="Times New Roman" w:eastAsia="宋体"/>
        <w:b/>
        <w:i w:val="0"/>
        <w:sz w:val="21"/>
        <w:szCs w:val="21"/>
      </w:rPr>
    </w:lvl>
    <w:lvl w:ilvl="2" w:tentative="0">
      <w:start w:val="1"/>
      <w:numFmt w:val="decimal"/>
      <w:suff w:val="space"/>
      <w:lvlText w:val="%1.%2.%3"/>
      <w:lvlJc w:val="left"/>
      <w:pPr>
        <w:ind w:left="993" w:firstLine="0"/>
      </w:pPr>
      <w:rPr>
        <w:rFonts w:hint="default" w:ascii="Times New Roman" w:hAnsi="Times New Roman" w:eastAsia="宋体"/>
        <w:b/>
        <w:i w:val="0"/>
        <w:sz w:val="32"/>
      </w:rPr>
    </w:lvl>
    <w:lvl w:ilvl="3" w:tentative="0">
      <w:start w:val="1"/>
      <w:numFmt w:val="decimal"/>
      <w:suff w:val="space"/>
      <w:lvlText w:val="%1.%2.%3.%4"/>
      <w:lvlJc w:val="left"/>
      <w:pPr>
        <w:ind w:left="0" w:firstLine="0"/>
      </w:pPr>
      <w:rPr>
        <w:rFonts w:hint="default" w:ascii="Times New Roman" w:hAnsi="Times New Roman" w:eastAsia="宋体"/>
        <w:b/>
        <w:i w:val="0"/>
        <w:sz w:val="24"/>
      </w:rPr>
    </w:lvl>
    <w:lvl w:ilvl="4" w:tentative="0">
      <w:start w:val="1"/>
      <w:numFmt w:val="decimal"/>
      <w:suff w:val="space"/>
      <w:lvlText w:val="%1.%2.%3.%4.%5"/>
      <w:lvlJc w:val="left"/>
      <w:pPr>
        <w:ind w:left="0" w:firstLine="0"/>
      </w:pPr>
      <w:rPr>
        <w:rFonts w:hint="default" w:ascii="Times New Roman" w:hAnsi="Times New Roman" w:eastAsia="宋体"/>
        <w:b/>
        <w:i w:val="0"/>
        <w:sz w:val="24"/>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144508"/>
    <w:rsid w:val="2F8266AE"/>
    <w:rsid w:val="45AB77AE"/>
    <w:rsid w:val="7DF03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240"/>
      <w:outlineLvl w:val="1"/>
    </w:pPr>
    <w:rPr>
      <w:rFonts w:ascii="Arial" w:hAnsi="Arial" w:eastAsia="黑体"/>
      <w:b/>
      <w:sz w:val="32"/>
    </w:rPr>
  </w:style>
  <w:style w:type="paragraph" w:styleId="3">
    <w:name w:val="heading 3"/>
    <w:basedOn w:val="1"/>
    <w:next w:val="1"/>
    <w:semiHidden/>
    <w:unhideWhenUsed/>
    <w:qFormat/>
    <w:uiPriority w:val="0"/>
    <w:pPr>
      <w:keepNext/>
      <w:keepLines/>
      <w:numPr>
        <w:ilvl w:val="0"/>
        <w:numId w:val="1"/>
      </w:numPr>
      <w:spacing w:before="50" w:after="50" w:line="416" w:lineRule="auto"/>
      <w:outlineLvl w:val="2"/>
    </w:pPr>
    <w:rPr>
      <w:rFonts w:ascii="宋体" w:hAnsi="宋体" w:eastAsia="宋体" w:cs="Times New Roman"/>
      <w:b/>
      <w:bCs/>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5182</Words>
  <Characters>5654</Characters>
  <Lines>0</Lines>
  <Paragraphs>0</Paragraphs>
  <TotalTime>0</TotalTime>
  <ScaleCrop>false</ScaleCrop>
  <LinksUpToDate>false</LinksUpToDate>
  <CharactersWithSpaces>5723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2025-07-30T08:06:00Z</dcterms:created>
  <dc:creator>zjyd-2</dc:creator>
  <cp:lastModifiedBy>李娜</cp:lastModifiedBy>
  <dcterms:modified xsi:type="dcterms:W3CDTF">2026-10-30T01:15:56Z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CF58DBFDBD8A45269F9CDECC14BC5366_12</vt:lpwstr>
  </property>
  <property fmtid="{D5CDD505-2E9C-101B-9397-08002B2CF9AE}" pid="4" name="KSOTemplateDocerSaveRecord">
    <vt:lpwstr>eyJoZGlkIjoiOWYyZDYxNTJjZmI2NmVkYTMyOWVjMGFiZjEzZGM5NjgiLCJ1c2VySWQiOiIxNTI1NDExOTAzIn0=</vt:lpwstr>
  </property>
</Properties>
</file>