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F5164">
      <w:pPr>
        <w:pStyle w:val="4"/>
        <w:spacing w:before="0" w:after="0" w:line="360" w:lineRule="auto"/>
        <w:rPr>
          <w:rFonts w:hint="eastAsia" w:ascii="宋体" w:hAnsi="宋体" w:cs="宋体"/>
          <w:b/>
          <w:color w:val="auto"/>
          <w:sz w:val="21"/>
          <w:szCs w:val="21"/>
        </w:rPr>
      </w:pPr>
      <w:bookmarkStart w:id="24" w:name="_GoBack"/>
      <w:bookmarkEnd w:id="24"/>
      <w:bookmarkStart w:id="0" w:name="1.招标条件"/>
      <w:bookmarkEnd w:id="0"/>
      <w:bookmarkStart w:id="1" w:name="_Toc2375"/>
      <w:bookmarkStart w:id="2" w:name="_Toc134792338"/>
      <w:bookmarkStart w:id="3" w:name="OLE_LINK1"/>
      <w:bookmarkStart w:id="4" w:name="OLE_LINK2"/>
      <w:r>
        <w:rPr>
          <w:rFonts w:hint="eastAsia" w:ascii="宋体" w:hAnsi="宋体" w:cs="宋体"/>
          <w:color w:val="auto"/>
          <w:sz w:val="21"/>
          <w:szCs w:val="21"/>
        </w:rPr>
        <w:t>附件1：资格审查条件</w:t>
      </w:r>
      <w:bookmarkEnd w:id="1"/>
      <w:bookmarkEnd w:id="2"/>
    </w:p>
    <w:p w14:paraId="67F25BD1">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附录1 资格审查条件（资质最低要求）</w:t>
      </w:r>
    </w:p>
    <w:tbl>
      <w:tblPr>
        <w:tblStyle w:val="19"/>
        <w:tblW w:w="94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5"/>
      </w:tblGrid>
      <w:tr w14:paraId="7B351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57B94FBE">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资质要求</w:t>
            </w:r>
          </w:p>
        </w:tc>
      </w:tr>
      <w:tr w14:paraId="6E56E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3FE63627">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（1）投标人为中华人民共和国境内合法注册的独立法人或其他组织；</w:t>
            </w:r>
          </w:p>
          <w:p w14:paraId="7DB83A46">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（2）具备住房和城乡建设主管部门颁发的</w:t>
            </w:r>
            <w:r>
              <w:rPr>
                <w:rFonts w:ascii="宋体" w:hAnsi="宋体" w:cs="宋体"/>
                <w:snapToGrid w:val="0"/>
                <w:kern w:val="0"/>
                <w:sz w:val="21"/>
                <w:szCs w:val="21"/>
              </w:rPr>
              <w:t>消防设施工程专业承包二级及以上资质</w:t>
            </w:r>
            <w:r>
              <w:rPr>
                <w:rFonts w:hint="eastAsia" w:ascii="宋体" w:hAnsi="宋体" w:cs="宋体"/>
                <w:snapToGrid w:val="0"/>
                <w:kern w:val="0"/>
                <w:sz w:val="21"/>
                <w:szCs w:val="21"/>
              </w:rPr>
              <w:t>。</w:t>
            </w:r>
          </w:p>
          <w:p w14:paraId="1FA093E8">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（3）具有有效的安全生产许可证。</w:t>
            </w:r>
          </w:p>
        </w:tc>
      </w:tr>
    </w:tbl>
    <w:p w14:paraId="167B80D7">
      <w:pPr>
        <w:jc w:val="center"/>
        <w:rPr>
          <w:rFonts w:hint="eastAsia" w:ascii="宋体" w:hAnsi="宋体" w:cs="宋体"/>
          <w:b/>
          <w:sz w:val="21"/>
          <w:szCs w:val="21"/>
        </w:rPr>
      </w:pPr>
    </w:p>
    <w:p w14:paraId="1B0A7579">
      <w:pPr>
        <w:jc w:val="center"/>
        <w:rPr>
          <w:rFonts w:hint="eastAsia" w:ascii="宋体" w:hAnsi="宋体" w:cs="宋体"/>
          <w:sz w:val="21"/>
          <w:szCs w:val="21"/>
        </w:rPr>
      </w:pPr>
      <w:r>
        <w:rPr>
          <w:rFonts w:hint="eastAsia" w:ascii="宋体" w:hAnsi="宋体" w:cs="宋体"/>
          <w:b/>
          <w:sz w:val="21"/>
          <w:szCs w:val="21"/>
        </w:rPr>
        <w:t>附录2 资格审查条件(财务最低要求)</w:t>
      </w:r>
    </w:p>
    <w:tbl>
      <w:tblPr>
        <w:tblStyle w:val="19"/>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420"/>
      </w:tblGrid>
      <w:tr w14:paraId="4BE99F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9" w:hRule="atLeast"/>
          <w:jc w:val="center"/>
        </w:trPr>
        <w:tc>
          <w:tcPr>
            <w:tcW w:w="9423" w:type="dxa"/>
            <w:tcBorders>
              <w:top w:val="single" w:color="auto" w:sz="2" w:space="0"/>
              <w:left w:val="single" w:color="auto" w:sz="2" w:space="0"/>
              <w:bottom w:val="single" w:color="auto" w:sz="2" w:space="0"/>
              <w:right w:val="single" w:color="auto" w:sz="2" w:space="0"/>
            </w:tcBorders>
            <w:vAlign w:val="center"/>
          </w:tcPr>
          <w:p w14:paraId="7B4973BA">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财务要求</w:t>
            </w:r>
          </w:p>
        </w:tc>
      </w:tr>
      <w:tr w14:paraId="053102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36" w:hRule="atLeast"/>
          <w:jc w:val="center"/>
        </w:trPr>
        <w:tc>
          <w:tcPr>
            <w:tcW w:w="9423" w:type="dxa"/>
            <w:tcBorders>
              <w:top w:val="single" w:color="auto" w:sz="2" w:space="0"/>
              <w:left w:val="single" w:color="auto" w:sz="2" w:space="0"/>
              <w:bottom w:val="single" w:color="auto" w:sz="2" w:space="0"/>
              <w:right w:val="single" w:color="auto" w:sz="2" w:space="0"/>
            </w:tcBorders>
            <w:vAlign w:val="center"/>
          </w:tcPr>
          <w:p w14:paraId="5C961859">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承诺为本合同所提供的营运资金(以经会计师事务所或审计机构审计的财务报表2025年度中：营运资金＝流动资产－流动负债，以年末数计算)以及为本项目而专门开具的银行信贷证明总和不得少于200万元。</w:t>
            </w:r>
          </w:p>
        </w:tc>
      </w:tr>
    </w:tbl>
    <w:p w14:paraId="4449E37D">
      <w:pPr>
        <w:pStyle w:val="11"/>
        <w:rPr>
          <w:rFonts w:hint="eastAsia" w:ascii="宋体" w:hAnsi="宋体" w:cs="宋体"/>
          <w:sz w:val="21"/>
          <w:szCs w:val="21"/>
        </w:rPr>
      </w:pPr>
    </w:p>
    <w:p w14:paraId="61A8FE63">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附录3 资格审查条件（业绩最低要求）</w:t>
      </w:r>
    </w:p>
    <w:tbl>
      <w:tblPr>
        <w:tblStyle w:val="19"/>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0477E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2B33FCD9">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业绩要求</w:t>
            </w:r>
          </w:p>
        </w:tc>
      </w:tr>
      <w:tr w14:paraId="3D096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06A68358">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近5年内（2021年8月1日至今，</w:t>
            </w:r>
            <w:r>
              <w:rPr>
                <w:rFonts w:ascii="宋体" w:hAnsi="宋体" w:cs="宋体"/>
                <w:snapToGrid w:val="0"/>
                <w:kern w:val="0"/>
                <w:sz w:val="21"/>
                <w:szCs w:val="21"/>
              </w:rPr>
              <w:t>以工程竣（交）工时间为准</w:t>
            </w:r>
            <w:r>
              <w:rPr>
                <w:rFonts w:hint="eastAsia" w:ascii="宋体" w:hAnsi="宋体" w:cs="宋体"/>
                <w:snapToGrid w:val="0"/>
                <w:kern w:val="0"/>
                <w:sz w:val="21"/>
                <w:szCs w:val="21"/>
              </w:rPr>
              <w:t>），至少完成过1项合同额不少于1000万元的消防工程施工项目（施工业绩包括单独施工业绩或设计施工总承包中相应施工业绩）。</w:t>
            </w:r>
          </w:p>
        </w:tc>
      </w:tr>
    </w:tbl>
    <w:p w14:paraId="2D74F291">
      <w:pPr>
        <w:adjustRightInd w:val="0"/>
        <w:snapToGrid w:val="0"/>
        <w:spacing w:line="360" w:lineRule="auto"/>
        <w:jc w:val="center"/>
        <w:rPr>
          <w:rFonts w:hint="eastAsia" w:ascii="宋体" w:hAnsi="宋体" w:cs="宋体"/>
          <w:b/>
          <w:bCs/>
          <w:snapToGrid w:val="0"/>
          <w:kern w:val="0"/>
          <w:sz w:val="21"/>
          <w:szCs w:val="21"/>
        </w:rPr>
      </w:pPr>
    </w:p>
    <w:p w14:paraId="7A8A5DEB">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附录4 资格审查条件（信誉最低要求）</w:t>
      </w:r>
    </w:p>
    <w:tbl>
      <w:tblPr>
        <w:tblStyle w:val="19"/>
        <w:tblW w:w="925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55"/>
      </w:tblGrid>
      <w:tr w14:paraId="62CF6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1"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2941F7E2">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信誉要求</w:t>
            </w:r>
          </w:p>
        </w:tc>
      </w:tr>
      <w:tr w14:paraId="01C52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49DB6BD8">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投标人在近1年内（2025年8月1日至投标截止时间）不曾在消防工程施工项目中违约而被驱逐或因投标人自身的原因而使合同被解除。</w:t>
            </w:r>
          </w:p>
        </w:tc>
      </w:tr>
    </w:tbl>
    <w:p w14:paraId="03BCA51D">
      <w:pPr>
        <w:rPr>
          <w:rFonts w:hint="eastAsia" w:ascii="宋体" w:hAnsi="宋体" w:cs="宋体"/>
          <w:b/>
          <w:bCs/>
          <w:snapToGrid w:val="0"/>
          <w:kern w:val="0"/>
          <w:sz w:val="21"/>
          <w:szCs w:val="21"/>
        </w:rPr>
      </w:pPr>
    </w:p>
    <w:p w14:paraId="7716F751">
      <w:pPr>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附录5 资格审查条件（项目经理和项目总工最低要求）</w:t>
      </w:r>
    </w:p>
    <w:tbl>
      <w:tblPr>
        <w:tblStyle w:val="19"/>
        <w:tblW w:w="90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1134"/>
        <w:gridCol w:w="567"/>
        <w:gridCol w:w="5957"/>
        <w:gridCol w:w="1417"/>
      </w:tblGrid>
      <w:tr w14:paraId="603E6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567"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471ACE95">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岗位</w:t>
            </w:r>
          </w:p>
        </w:tc>
        <w:tc>
          <w:tcPr>
            <w:tcW w:w="567" w:type="dxa"/>
            <w:tcBorders>
              <w:top w:val="single" w:color="000000" w:sz="2" w:space="0"/>
              <w:left w:val="single" w:color="000000" w:sz="4" w:space="0"/>
              <w:bottom w:val="single" w:color="000000" w:sz="2" w:space="0"/>
              <w:right w:val="single" w:color="000000" w:sz="4" w:space="0"/>
            </w:tcBorders>
            <w:vAlign w:val="center"/>
          </w:tcPr>
          <w:p w14:paraId="6A7417E6">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数量</w:t>
            </w:r>
          </w:p>
        </w:tc>
        <w:tc>
          <w:tcPr>
            <w:tcW w:w="5957" w:type="dxa"/>
            <w:tcBorders>
              <w:top w:val="single" w:color="000000" w:sz="2" w:space="0"/>
              <w:left w:val="single" w:color="000000" w:sz="4" w:space="0"/>
              <w:bottom w:val="single" w:color="000000" w:sz="2" w:space="0"/>
              <w:right w:val="single" w:color="000000" w:sz="4" w:space="0"/>
            </w:tcBorders>
            <w:vAlign w:val="center"/>
          </w:tcPr>
          <w:p w14:paraId="02C5B05E">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资格标准</w:t>
            </w:r>
          </w:p>
        </w:tc>
        <w:tc>
          <w:tcPr>
            <w:tcW w:w="1417" w:type="dxa"/>
            <w:tcBorders>
              <w:top w:val="single" w:color="000000" w:sz="2" w:space="0"/>
              <w:left w:val="single" w:color="000000" w:sz="4" w:space="0"/>
              <w:bottom w:val="single" w:color="000000" w:sz="2" w:space="0"/>
              <w:right w:val="single" w:color="000000" w:sz="2" w:space="0"/>
            </w:tcBorders>
            <w:vAlign w:val="center"/>
          </w:tcPr>
          <w:p w14:paraId="750BC982">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在岗要求</w:t>
            </w:r>
          </w:p>
        </w:tc>
      </w:tr>
      <w:tr w14:paraId="46327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179"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54C43365">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项目经理</w:t>
            </w:r>
          </w:p>
        </w:tc>
        <w:tc>
          <w:tcPr>
            <w:tcW w:w="567" w:type="dxa"/>
            <w:tcBorders>
              <w:top w:val="single" w:color="000000" w:sz="2" w:space="0"/>
              <w:left w:val="single" w:color="000000" w:sz="4" w:space="0"/>
              <w:bottom w:val="single" w:color="000000" w:sz="2" w:space="0"/>
              <w:right w:val="single" w:color="000000" w:sz="4" w:space="0"/>
            </w:tcBorders>
            <w:vAlign w:val="center"/>
          </w:tcPr>
          <w:p w14:paraId="05F49EE2">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5957" w:type="dxa"/>
            <w:tcBorders>
              <w:top w:val="single" w:color="000000" w:sz="2" w:space="0"/>
              <w:left w:val="single" w:color="000000" w:sz="4" w:space="0"/>
              <w:bottom w:val="single" w:color="000000" w:sz="2" w:space="0"/>
              <w:right w:val="single" w:color="000000" w:sz="4" w:space="0"/>
            </w:tcBorders>
            <w:vAlign w:val="center"/>
          </w:tcPr>
          <w:p w14:paraId="147FFAE1">
            <w:pPr>
              <w:autoSpaceDE w:val="0"/>
              <w:autoSpaceDN w:val="0"/>
              <w:adjustRightInd w:val="0"/>
              <w:snapToGrid w:val="0"/>
              <w:spacing w:line="288" w:lineRule="auto"/>
              <w:rPr>
                <w:rFonts w:hint="eastAsia" w:ascii="宋体" w:hAnsi="宋体" w:cs="宋体"/>
                <w:snapToGrid w:val="0"/>
                <w:kern w:val="0"/>
                <w:sz w:val="21"/>
                <w:szCs w:val="21"/>
              </w:rPr>
            </w:pPr>
            <w:r>
              <w:rPr>
                <w:rFonts w:hint="eastAsia" w:ascii="宋体" w:hAnsi="宋体" w:cs="宋体"/>
                <w:snapToGrid w:val="0"/>
                <w:kern w:val="0"/>
                <w:sz w:val="21"/>
                <w:szCs w:val="21"/>
              </w:rPr>
              <w:t>中级或以上职称；</w:t>
            </w:r>
          </w:p>
          <w:p w14:paraId="0CC834C0">
            <w:pPr>
              <w:autoSpaceDE w:val="0"/>
              <w:autoSpaceDN w:val="0"/>
              <w:adjustRightInd w:val="0"/>
              <w:snapToGrid w:val="0"/>
              <w:spacing w:line="288" w:lineRule="auto"/>
            </w:pPr>
            <w:r>
              <w:rPr>
                <w:rFonts w:hint="eastAsia" w:ascii="宋体" w:hAnsi="宋体" w:cs="宋体"/>
                <w:snapToGrid w:val="0"/>
                <w:kern w:val="0"/>
                <w:sz w:val="21"/>
                <w:szCs w:val="21"/>
              </w:rPr>
              <w:t>具有二级及以上注册建造师证书（机电工程专业），注册单位须与投标人单位名称一致；具有住房和城乡建设部门颁发的有效的《安全生产考核合格证书》B类，登记单位须与投标人单位名称一致。近5年内（2021年8月1日至今，</w:t>
            </w:r>
            <w:r>
              <w:rPr>
                <w:rFonts w:ascii="宋体" w:hAnsi="宋体" w:cs="宋体"/>
                <w:snapToGrid w:val="0"/>
                <w:kern w:val="0"/>
                <w:sz w:val="21"/>
                <w:szCs w:val="21"/>
              </w:rPr>
              <w:t>以工程竣（交）工时间为准</w:t>
            </w:r>
            <w:r>
              <w:rPr>
                <w:rFonts w:hint="eastAsia" w:ascii="宋体" w:hAnsi="宋体" w:cs="宋体"/>
                <w:snapToGrid w:val="0"/>
                <w:kern w:val="0"/>
                <w:sz w:val="21"/>
                <w:szCs w:val="21"/>
              </w:rPr>
              <w:t>），至少担任过1项合同额不少于1000万元的消防工程施工项目的项目经理或项目负责人或项目总工或技术负责人。</w:t>
            </w:r>
          </w:p>
        </w:tc>
        <w:tc>
          <w:tcPr>
            <w:tcW w:w="1417" w:type="dxa"/>
            <w:vMerge w:val="restart"/>
            <w:tcBorders>
              <w:top w:val="single" w:color="000000" w:sz="2" w:space="0"/>
              <w:left w:val="single" w:color="000000" w:sz="4" w:space="0"/>
              <w:right w:val="single" w:color="000000" w:sz="2" w:space="0"/>
            </w:tcBorders>
            <w:vAlign w:val="center"/>
          </w:tcPr>
          <w:p w14:paraId="779C6743">
            <w:pPr>
              <w:autoSpaceDE w:val="0"/>
              <w:autoSpaceDN w:val="0"/>
              <w:adjustRightInd w:val="0"/>
              <w:snapToGrid w:val="0"/>
              <w:spacing w:line="288" w:lineRule="auto"/>
            </w:pPr>
            <w:r>
              <w:rPr>
                <w:rFonts w:hint="eastAsia" w:ascii="宋体" w:hAnsi="宋体" w:cs="宋体"/>
                <w:snapToGrid w:val="0"/>
                <w:kern w:val="0"/>
                <w:sz w:val="21"/>
                <w:szCs w:val="21"/>
              </w:rPr>
              <w:t>目前未在其他项目上任职，或虽在其他项目上任职但能够从其他项目撤离并能在本项目履约。</w:t>
            </w:r>
          </w:p>
        </w:tc>
      </w:tr>
      <w:tr w14:paraId="1BBD3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667"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198EFEC4">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项目总工</w:t>
            </w:r>
          </w:p>
        </w:tc>
        <w:tc>
          <w:tcPr>
            <w:tcW w:w="567" w:type="dxa"/>
            <w:tcBorders>
              <w:top w:val="single" w:color="000000" w:sz="2" w:space="0"/>
              <w:left w:val="single" w:color="000000" w:sz="4" w:space="0"/>
              <w:bottom w:val="single" w:color="000000" w:sz="2" w:space="0"/>
              <w:right w:val="single" w:color="000000" w:sz="4" w:space="0"/>
            </w:tcBorders>
            <w:vAlign w:val="center"/>
          </w:tcPr>
          <w:p w14:paraId="1DD058E8">
            <w:pPr>
              <w:autoSpaceDE w:val="0"/>
              <w:autoSpaceDN w:val="0"/>
              <w:adjustRightInd w:val="0"/>
              <w:snapToGrid w:val="0"/>
              <w:spacing w:line="288"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5957" w:type="dxa"/>
            <w:tcBorders>
              <w:top w:val="single" w:color="000000" w:sz="2" w:space="0"/>
              <w:left w:val="single" w:color="000000" w:sz="4" w:space="0"/>
              <w:bottom w:val="single" w:color="000000" w:sz="2" w:space="0"/>
              <w:right w:val="single" w:color="000000" w:sz="4" w:space="0"/>
            </w:tcBorders>
            <w:vAlign w:val="center"/>
          </w:tcPr>
          <w:p w14:paraId="5CEF7C7E">
            <w:pPr>
              <w:autoSpaceDE w:val="0"/>
              <w:autoSpaceDN w:val="0"/>
              <w:adjustRightInd w:val="0"/>
              <w:snapToGrid w:val="0"/>
              <w:spacing w:line="288" w:lineRule="auto"/>
              <w:rPr>
                <w:rFonts w:hint="eastAsia" w:ascii="宋体" w:hAnsi="宋体" w:cs="宋体"/>
                <w:snapToGrid w:val="0"/>
                <w:kern w:val="0"/>
                <w:sz w:val="21"/>
                <w:szCs w:val="21"/>
              </w:rPr>
            </w:pPr>
            <w:r>
              <w:rPr>
                <w:rFonts w:hint="eastAsia" w:ascii="宋体" w:hAnsi="宋体" w:cs="宋体"/>
                <w:snapToGrid w:val="0"/>
                <w:kern w:val="0"/>
                <w:sz w:val="21"/>
                <w:szCs w:val="21"/>
              </w:rPr>
              <w:t>高级或以上职称；</w:t>
            </w:r>
          </w:p>
          <w:p w14:paraId="6A87E129">
            <w:pPr>
              <w:autoSpaceDE w:val="0"/>
              <w:autoSpaceDN w:val="0"/>
              <w:adjustRightInd w:val="0"/>
              <w:snapToGrid w:val="0"/>
              <w:spacing w:line="288" w:lineRule="auto"/>
              <w:rPr>
                <w:rFonts w:hint="eastAsia" w:ascii="宋体" w:hAnsi="宋体" w:cs="宋体"/>
                <w:snapToGrid w:val="0"/>
                <w:kern w:val="0"/>
                <w:sz w:val="21"/>
                <w:szCs w:val="21"/>
              </w:rPr>
            </w:pPr>
            <w:r>
              <w:rPr>
                <w:rFonts w:hint="eastAsia" w:ascii="宋体" w:hAnsi="宋体" w:cs="宋体"/>
                <w:snapToGrid w:val="0"/>
                <w:kern w:val="0"/>
                <w:sz w:val="21"/>
                <w:szCs w:val="21"/>
              </w:rPr>
              <w:t>近5年内（2021年8月1日至今，</w:t>
            </w:r>
            <w:r>
              <w:rPr>
                <w:rFonts w:ascii="宋体" w:hAnsi="宋体" w:cs="宋体"/>
                <w:snapToGrid w:val="0"/>
                <w:kern w:val="0"/>
                <w:sz w:val="21"/>
                <w:szCs w:val="21"/>
              </w:rPr>
              <w:t>以工程竣（交）工时间为准</w:t>
            </w:r>
            <w:r>
              <w:rPr>
                <w:rFonts w:hint="eastAsia" w:ascii="宋体" w:hAnsi="宋体" w:cs="宋体"/>
                <w:snapToGrid w:val="0"/>
                <w:kern w:val="0"/>
                <w:sz w:val="21"/>
                <w:szCs w:val="21"/>
              </w:rPr>
              <w:t>），至少担任过1项合同额不少于1000万元的消防工程施工项目的项目总工或技术负责人。</w:t>
            </w:r>
          </w:p>
        </w:tc>
        <w:tc>
          <w:tcPr>
            <w:tcW w:w="1417" w:type="dxa"/>
            <w:vMerge w:val="continue"/>
            <w:tcBorders>
              <w:left w:val="single" w:color="000000" w:sz="4" w:space="0"/>
              <w:right w:val="single" w:color="000000" w:sz="2" w:space="0"/>
            </w:tcBorders>
            <w:vAlign w:val="center"/>
          </w:tcPr>
          <w:p w14:paraId="79D5D79B">
            <w:pPr>
              <w:autoSpaceDE w:val="0"/>
              <w:autoSpaceDN w:val="0"/>
              <w:adjustRightInd w:val="0"/>
              <w:snapToGrid w:val="0"/>
              <w:spacing w:line="288" w:lineRule="auto"/>
              <w:rPr>
                <w:rFonts w:hint="eastAsia" w:ascii="宋体" w:hAnsi="宋体" w:cs="宋体"/>
                <w:snapToGrid w:val="0"/>
                <w:kern w:val="0"/>
                <w:sz w:val="21"/>
                <w:szCs w:val="21"/>
              </w:rPr>
            </w:pPr>
          </w:p>
        </w:tc>
      </w:tr>
    </w:tbl>
    <w:p w14:paraId="45D49EF6">
      <w:pPr>
        <w:ind w:firstLine="420" w:firstLineChars="200"/>
      </w:pPr>
      <w:bookmarkStart w:id="5" w:name="_Toc134792340"/>
      <w:r>
        <w:rPr>
          <w:rFonts w:hint="eastAsia" w:ascii="宋体" w:hAnsi="宋体" w:cs="宋体"/>
          <w:snapToGrid w:val="0"/>
          <w:kern w:val="0"/>
          <w:sz w:val="21"/>
          <w:szCs w:val="21"/>
        </w:rPr>
        <w:t>注：施工业绩包括单独施工业绩或设计施工总承包中相应施工业绩。</w:t>
      </w:r>
      <w:r>
        <w:rPr>
          <w:rFonts w:hint="eastAsia" w:ascii="宋体" w:hAnsi="宋体" w:cs="宋体"/>
          <w:sz w:val="21"/>
          <w:szCs w:val="21"/>
        </w:rPr>
        <w:br w:type="page"/>
      </w:r>
    </w:p>
    <w:bookmarkEnd w:id="3"/>
    <w:bookmarkEnd w:id="5"/>
    <w:p w14:paraId="08E31172">
      <w:pPr>
        <w:pStyle w:val="4"/>
        <w:spacing w:before="0" w:after="0" w:line="360" w:lineRule="auto"/>
        <w:ind w:firstLine="420" w:firstLineChars="200"/>
        <w:rPr>
          <w:rFonts w:hint="eastAsia" w:ascii="宋体" w:hAnsi="宋体"/>
          <w:color w:val="auto"/>
          <w:sz w:val="21"/>
          <w:szCs w:val="21"/>
        </w:rPr>
      </w:pPr>
      <w:r>
        <w:rPr>
          <w:rFonts w:hint="eastAsia" w:ascii="宋体" w:hAnsi="宋体" w:cs="宋体"/>
          <w:color w:val="auto"/>
          <w:sz w:val="21"/>
          <w:szCs w:val="21"/>
        </w:rPr>
        <w:t>附件2：</w:t>
      </w:r>
      <w:r>
        <w:rPr>
          <w:rFonts w:hint="eastAsia" w:ascii="宋体" w:hAnsi="宋体"/>
          <w:color w:val="auto"/>
          <w:sz w:val="21"/>
          <w:szCs w:val="21"/>
        </w:rPr>
        <w:t>随机确定评标基准价计算方法的规则与程序</w:t>
      </w:r>
    </w:p>
    <w:p w14:paraId="0A21003C">
      <w:pPr>
        <w:pStyle w:val="4"/>
        <w:spacing w:before="0" w:after="0" w:line="360" w:lineRule="auto"/>
        <w:ind w:firstLine="420" w:firstLineChars="200"/>
        <w:rPr>
          <w:rFonts w:hint="eastAsia" w:ascii="宋体" w:hAnsi="宋体"/>
          <w:color w:val="auto"/>
          <w:sz w:val="21"/>
          <w:szCs w:val="21"/>
        </w:rPr>
      </w:pPr>
      <w:r>
        <w:rPr>
          <w:rFonts w:hint="eastAsia" w:ascii="宋体" w:hAnsi="宋体"/>
          <w:color w:val="auto"/>
          <w:sz w:val="21"/>
          <w:szCs w:val="21"/>
        </w:rPr>
        <w:t>一、第一信封随机确定评标基准价计算方法规则</w:t>
      </w:r>
    </w:p>
    <w:p w14:paraId="2F12ABA8">
      <w:pPr>
        <w:spacing w:line="360" w:lineRule="auto"/>
        <w:ind w:firstLine="420" w:firstLineChars="200"/>
        <w:rPr>
          <w:rFonts w:hint="eastAsia" w:ascii="宋体" w:hAnsi="宋体"/>
          <w:sz w:val="21"/>
          <w:szCs w:val="21"/>
        </w:rPr>
      </w:pPr>
      <w:r>
        <w:rPr>
          <w:rFonts w:hint="eastAsia" w:ascii="宋体" w:hAnsi="宋体"/>
          <w:sz w:val="21"/>
          <w:szCs w:val="21"/>
        </w:rPr>
        <w:t>参与随机确定评标基准价计算方法的各方当事人（以下简称“各方”）应当严格遵守以下规则：</w:t>
      </w:r>
    </w:p>
    <w:p w14:paraId="7A5005CC">
      <w:pPr>
        <w:spacing w:line="360" w:lineRule="auto"/>
        <w:ind w:firstLine="420" w:firstLineChars="200"/>
        <w:rPr>
          <w:rFonts w:hint="eastAsia" w:ascii="宋体" w:hAnsi="宋体"/>
          <w:sz w:val="21"/>
          <w:szCs w:val="21"/>
        </w:rPr>
      </w:pPr>
      <w:r>
        <w:rPr>
          <w:rFonts w:hint="eastAsia" w:ascii="宋体" w:hAnsi="宋体"/>
          <w:sz w:val="21"/>
          <w:szCs w:val="21"/>
        </w:rPr>
        <w:t>（一）各方必须严格遵守公开、公平、公正和诚实信用原则；</w:t>
      </w:r>
    </w:p>
    <w:p w14:paraId="6AFB6508">
      <w:pPr>
        <w:spacing w:line="360" w:lineRule="auto"/>
        <w:ind w:firstLine="420" w:firstLineChars="200"/>
        <w:rPr>
          <w:rFonts w:hint="eastAsia" w:ascii="宋体" w:hAnsi="宋体"/>
          <w:sz w:val="21"/>
          <w:szCs w:val="21"/>
        </w:rPr>
      </w:pPr>
      <w:r>
        <w:rPr>
          <w:rFonts w:hint="eastAsia" w:ascii="宋体" w:hAnsi="宋体"/>
          <w:sz w:val="21"/>
          <w:szCs w:val="21"/>
        </w:rPr>
        <w:t>（二）随机抽取活动在招标人的主持下进行，招标人做好影像记录，并存档备查；</w:t>
      </w:r>
    </w:p>
    <w:p w14:paraId="495FE2E9">
      <w:pPr>
        <w:spacing w:line="360" w:lineRule="auto"/>
        <w:ind w:firstLine="420" w:firstLineChars="200"/>
        <w:rPr>
          <w:rFonts w:hint="eastAsia" w:ascii="宋体" w:hAnsi="宋体"/>
          <w:sz w:val="21"/>
          <w:szCs w:val="21"/>
        </w:rPr>
      </w:pPr>
      <w:r>
        <w:rPr>
          <w:rFonts w:hint="eastAsia" w:ascii="宋体" w:hAnsi="宋体"/>
          <w:sz w:val="21"/>
          <w:szCs w:val="21"/>
        </w:rPr>
        <w:t>（三）用于随机抽取的器具由招标人提供；</w:t>
      </w:r>
    </w:p>
    <w:p w14:paraId="7E90D9FC">
      <w:pPr>
        <w:spacing w:line="360" w:lineRule="auto"/>
        <w:ind w:firstLine="420" w:firstLineChars="200"/>
        <w:rPr>
          <w:rFonts w:hint="eastAsia" w:ascii="宋体" w:hAnsi="宋体"/>
          <w:sz w:val="21"/>
          <w:szCs w:val="21"/>
        </w:rPr>
      </w:pPr>
      <w:r>
        <w:rPr>
          <w:rFonts w:hint="eastAsia" w:ascii="宋体" w:hAnsi="宋体"/>
          <w:sz w:val="21"/>
          <w:szCs w:val="21"/>
        </w:rPr>
        <w:t>（四）各方必须严格遵守现场纪律，确保随机抽取活动有序进行；</w:t>
      </w:r>
    </w:p>
    <w:p w14:paraId="1607947B">
      <w:pPr>
        <w:spacing w:line="360" w:lineRule="auto"/>
        <w:ind w:firstLine="420" w:firstLineChars="200"/>
        <w:rPr>
          <w:rFonts w:hint="eastAsia" w:ascii="宋体" w:hAnsi="宋体"/>
          <w:sz w:val="21"/>
          <w:szCs w:val="21"/>
        </w:rPr>
      </w:pPr>
      <w:r>
        <w:rPr>
          <w:rFonts w:hint="eastAsia" w:ascii="宋体" w:hAnsi="宋体"/>
          <w:sz w:val="21"/>
          <w:szCs w:val="21"/>
        </w:rPr>
        <w:t>（五）投标人对随机抽取过程有异议的，在“河北省公共资源交易服务平台”的项目流程中点异议按钮在线提出异议，招标人当场作出答复，并作好记录。</w:t>
      </w:r>
    </w:p>
    <w:p w14:paraId="3BD7F6F2">
      <w:pPr>
        <w:pStyle w:val="4"/>
        <w:spacing w:before="0" w:after="0" w:line="360" w:lineRule="auto"/>
        <w:ind w:firstLine="420" w:firstLineChars="200"/>
        <w:rPr>
          <w:rFonts w:hint="eastAsia" w:ascii="宋体" w:hAnsi="宋体"/>
          <w:color w:val="auto"/>
          <w:sz w:val="21"/>
          <w:szCs w:val="21"/>
        </w:rPr>
      </w:pPr>
      <w:r>
        <w:rPr>
          <w:rFonts w:hint="eastAsia" w:ascii="宋体" w:hAnsi="宋体"/>
          <w:color w:val="auto"/>
          <w:sz w:val="21"/>
          <w:szCs w:val="21"/>
        </w:rPr>
        <w:t>二、确定随机抽取代码球</w:t>
      </w:r>
    </w:p>
    <w:p w14:paraId="67296798">
      <w:pPr>
        <w:spacing w:line="360" w:lineRule="auto"/>
        <w:ind w:firstLine="420" w:firstLineChars="200"/>
        <w:rPr>
          <w:rFonts w:hint="eastAsia" w:ascii="宋体" w:hAnsi="宋体"/>
          <w:sz w:val="21"/>
          <w:szCs w:val="21"/>
        </w:rPr>
      </w:pPr>
      <w:r>
        <w:rPr>
          <w:rFonts w:hint="eastAsia" w:ascii="宋体" w:hAnsi="宋体"/>
          <w:sz w:val="21"/>
          <w:szCs w:val="21"/>
        </w:rPr>
        <w:t>用抽取器具随机确定抽取代码球一套，作为本次随机确定评标基准价计算方法的代码球。</w:t>
      </w:r>
    </w:p>
    <w:p w14:paraId="3A782F93">
      <w:pPr>
        <w:spacing w:line="360" w:lineRule="auto"/>
        <w:ind w:firstLine="422" w:firstLineChars="200"/>
        <w:rPr>
          <w:rFonts w:hint="eastAsia" w:ascii="宋体" w:hAnsi="宋体"/>
          <w:b/>
          <w:bCs/>
          <w:sz w:val="21"/>
          <w:szCs w:val="21"/>
        </w:rPr>
      </w:pPr>
      <w:r>
        <w:rPr>
          <w:rFonts w:hint="eastAsia" w:ascii="宋体" w:hAnsi="宋体"/>
          <w:b/>
          <w:bCs/>
          <w:sz w:val="21"/>
          <w:szCs w:val="21"/>
        </w:rPr>
        <w:t>三、随机抽取确定评标基准价计算方法的程序</w:t>
      </w:r>
    </w:p>
    <w:p w14:paraId="2FC5EFD2">
      <w:pPr>
        <w:spacing w:line="360" w:lineRule="auto"/>
        <w:ind w:firstLine="420" w:firstLineChars="200"/>
        <w:rPr>
          <w:rFonts w:hint="eastAsia" w:ascii="宋体" w:hAnsi="宋体"/>
          <w:sz w:val="21"/>
          <w:szCs w:val="21"/>
        </w:rPr>
      </w:pPr>
      <w:r>
        <w:rPr>
          <w:rFonts w:hint="eastAsia" w:ascii="宋体" w:hAnsi="宋体"/>
          <w:sz w:val="21"/>
          <w:szCs w:val="21"/>
        </w:rPr>
        <w:t>（一）本次招标共设置三种评标基准价计算方法（详见评标办法）。</w:t>
      </w:r>
    </w:p>
    <w:p w14:paraId="578E27D3">
      <w:pPr>
        <w:spacing w:line="360" w:lineRule="auto"/>
        <w:ind w:firstLine="420" w:firstLineChars="200"/>
        <w:rPr>
          <w:rFonts w:hint="eastAsia" w:ascii="宋体" w:hAnsi="宋体"/>
          <w:sz w:val="21"/>
          <w:szCs w:val="21"/>
        </w:rPr>
      </w:pPr>
      <w:r>
        <w:rPr>
          <w:rFonts w:hint="eastAsia" w:ascii="宋体" w:hAnsi="宋体"/>
          <w:sz w:val="21"/>
          <w:szCs w:val="21"/>
        </w:rPr>
        <w:t>确定评标基准价计算方法的编号及代码球，1号球代表评标基准价计算方法1；2号球代表评标基准价计算方法2；3号球代表评标基准价计算方法3。</w:t>
      </w:r>
    </w:p>
    <w:p w14:paraId="039AB002">
      <w:pPr>
        <w:spacing w:line="360" w:lineRule="auto"/>
        <w:ind w:firstLine="420" w:firstLineChars="200"/>
        <w:rPr>
          <w:rFonts w:hint="eastAsia" w:ascii="宋体" w:hAnsi="宋体"/>
          <w:sz w:val="21"/>
          <w:szCs w:val="21"/>
        </w:rPr>
      </w:pPr>
      <w:r>
        <w:rPr>
          <w:rFonts w:hint="eastAsia" w:ascii="宋体" w:hAnsi="宋体"/>
          <w:sz w:val="21"/>
          <w:szCs w:val="21"/>
        </w:rPr>
        <w:t>（二）在投标文件第一信封（商务及技术文件）开标现场，将编号1、2、3代码球全部放入随机抽取器具中，由抽取器具随机抽取产生本次招标评标基准价计算方法。</w:t>
      </w:r>
    </w:p>
    <w:p w14:paraId="605EF4D9">
      <w:pPr>
        <w:spacing w:line="360" w:lineRule="auto"/>
        <w:ind w:firstLine="420" w:firstLineChars="200"/>
        <w:rPr>
          <w:rFonts w:hint="eastAsia" w:ascii="宋体" w:hAnsi="宋体"/>
          <w:sz w:val="21"/>
          <w:szCs w:val="21"/>
        </w:rPr>
      </w:pPr>
      <w:r>
        <w:rPr>
          <w:rFonts w:hint="eastAsia" w:ascii="宋体" w:hAnsi="宋体"/>
          <w:sz w:val="21"/>
          <w:szCs w:val="21"/>
        </w:rPr>
        <w:t>（三）确定评标基准价计算方法需要的系数（如有）。</w:t>
      </w:r>
    </w:p>
    <w:p w14:paraId="35E4048C">
      <w:pPr>
        <w:spacing w:line="360" w:lineRule="auto"/>
        <w:ind w:firstLine="420" w:firstLineChars="200"/>
        <w:rPr>
          <w:rFonts w:hint="eastAsia" w:ascii="宋体" w:hAnsi="宋体"/>
          <w:sz w:val="21"/>
          <w:szCs w:val="21"/>
        </w:rPr>
      </w:pPr>
      <w:r>
        <w:rPr>
          <w:rFonts w:hint="eastAsia" w:ascii="宋体" w:hAnsi="宋体"/>
          <w:sz w:val="21"/>
          <w:szCs w:val="21"/>
        </w:rPr>
        <w:t>1、如果抽取的评标基准价计算方法为方法一，则需要抽取评标基准价系数 K1。K1取值范围为0.975、0.98、0.985、0.99、0.995共5个数值。将编号为1～5的代码球放入抽取器具，由抽取器具随机抽取1个代码球。1号球代表K1值为0.975；2号球代表K1值为0.98；3号球代表K1值为0.985；4号球代表K1值为0.99；5号球代表K1值为0.995。在投标文件第一信封（商务及技术文件）开标现场通过随机抽取方式确定一个评标基准价系数K1，并当场公布。</w:t>
      </w:r>
    </w:p>
    <w:p w14:paraId="078F2EED">
      <w:pPr>
        <w:spacing w:line="360" w:lineRule="auto"/>
        <w:ind w:firstLine="420" w:firstLineChars="200"/>
        <w:rPr>
          <w:rFonts w:hint="eastAsia" w:ascii="宋体" w:hAnsi="宋体"/>
          <w:sz w:val="21"/>
          <w:szCs w:val="21"/>
        </w:rPr>
      </w:pPr>
      <w:r>
        <w:rPr>
          <w:rFonts w:hint="eastAsia" w:ascii="宋体" w:hAnsi="宋体"/>
          <w:sz w:val="21"/>
          <w:szCs w:val="21"/>
        </w:rPr>
        <w:t>2、如果抽取的评标基准价计算方法为方法二、方法三，则不需要抽取系数。</w:t>
      </w:r>
    </w:p>
    <w:p w14:paraId="1B07F931">
      <w:pPr>
        <w:adjustRightInd w:val="0"/>
        <w:spacing w:line="360" w:lineRule="auto"/>
        <w:ind w:firstLine="422" w:firstLineChars="200"/>
        <w:rPr>
          <w:rFonts w:hint="eastAsia" w:ascii="宋体" w:hAnsi="宋体" w:cs="宋体"/>
          <w:bCs/>
          <w:sz w:val="21"/>
          <w:szCs w:val="21"/>
        </w:rPr>
      </w:pPr>
      <w:r>
        <w:rPr>
          <w:rFonts w:hint="eastAsia" w:ascii="宋体" w:hAnsi="宋体"/>
          <w:b/>
          <w:bCs/>
          <w:sz w:val="21"/>
          <w:szCs w:val="21"/>
        </w:rPr>
        <w:t>四、</w:t>
      </w:r>
      <w:r>
        <w:rPr>
          <w:rFonts w:hint="eastAsia" w:ascii="宋体" w:hAnsi="宋体"/>
          <w:sz w:val="21"/>
          <w:szCs w:val="21"/>
        </w:rPr>
        <w:t>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r>
        <w:rPr>
          <w:rFonts w:hint="eastAsia" w:ascii="宋体" w:hAnsi="宋体" w:cs="宋体"/>
          <w:bCs/>
          <w:sz w:val="21"/>
          <w:szCs w:val="21"/>
        </w:rPr>
        <w:br w:type="page"/>
      </w:r>
    </w:p>
    <w:p w14:paraId="1BEF7E08">
      <w:pPr>
        <w:pStyle w:val="11"/>
      </w:pPr>
    </w:p>
    <w:p w14:paraId="4DC2B958">
      <w:pPr>
        <w:pStyle w:val="4"/>
        <w:spacing w:before="0" w:after="0" w:line="360" w:lineRule="auto"/>
        <w:rPr>
          <w:rFonts w:hint="eastAsia" w:ascii="宋体" w:hAnsi="宋体" w:cs="宋体"/>
          <w:color w:val="auto"/>
          <w:sz w:val="21"/>
          <w:szCs w:val="21"/>
        </w:rPr>
      </w:pPr>
      <w:r>
        <w:rPr>
          <w:rFonts w:hint="eastAsia" w:ascii="宋体" w:hAnsi="宋体" w:cs="宋体"/>
          <w:color w:val="auto"/>
          <w:sz w:val="21"/>
          <w:szCs w:val="21"/>
        </w:rPr>
        <w:t>附件3：评标办法</w:t>
      </w:r>
    </w:p>
    <w:p w14:paraId="424D46E6">
      <w:pPr>
        <w:tabs>
          <w:tab w:val="left" w:pos="0"/>
        </w:tabs>
        <w:spacing w:line="360" w:lineRule="auto"/>
        <w:jc w:val="center"/>
        <w:rPr>
          <w:rFonts w:hint="eastAsia" w:ascii="宋体" w:hAnsi="宋体" w:cs="宋体"/>
          <w:b/>
          <w:bCs/>
          <w:sz w:val="21"/>
          <w:szCs w:val="21"/>
        </w:rPr>
      </w:pPr>
      <w:bookmarkStart w:id="6" w:name="_Toc134792342"/>
      <w:bookmarkStart w:id="7" w:name="_Toc445382083"/>
      <w:bookmarkStart w:id="8" w:name="_Toc531949858"/>
      <w:bookmarkStart w:id="9" w:name="_Toc134899107"/>
      <w:bookmarkStart w:id="10" w:name="_Toc444088432"/>
      <w:bookmarkStart w:id="11" w:name="_Toc134892623"/>
      <w:bookmarkStart w:id="12" w:name="_Toc445222503"/>
      <w:bookmarkStart w:id="13" w:name="_Toc134792893"/>
      <w:bookmarkStart w:id="14" w:name="_Toc444271617"/>
      <w:bookmarkStart w:id="15" w:name="_Toc134792410"/>
      <w:bookmarkStart w:id="16" w:name="_Toc134878969"/>
      <w:bookmarkStart w:id="17" w:name="_Toc134896400"/>
      <w:bookmarkStart w:id="18" w:name="_Toc476561971"/>
      <w:bookmarkStart w:id="19" w:name="_Toc459307892"/>
      <w:bookmarkStart w:id="20" w:name="_Toc472700283"/>
      <w:bookmarkStart w:id="21" w:name="_Toc456619522"/>
      <w:bookmarkStart w:id="22" w:name="_Toc478141167"/>
      <w:r>
        <w:rPr>
          <w:rFonts w:hint="eastAsia" w:ascii="宋体" w:hAnsi="宋体" w:cs="宋体"/>
          <w:b/>
          <w:bCs/>
          <w:sz w:val="21"/>
          <w:szCs w:val="21"/>
        </w:rPr>
        <w:t>评标办法前附表</w:t>
      </w:r>
      <w:bookmarkEnd w:id="6"/>
      <w:bookmarkEnd w:id="7"/>
      <w:bookmarkEnd w:id="8"/>
      <w:bookmarkEnd w:id="9"/>
      <w:bookmarkEnd w:id="10"/>
      <w:bookmarkEnd w:id="11"/>
      <w:bookmarkEnd w:id="12"/>
      <w:bookmarkEnd w:id="13"/>
      <w:bookmarkEnd w:id="14"/>
      <w:bookmarkEnd w:id="15"/>
      <w:bookmarkEnd w:id="16"/>
      <w:bookmarkEnd w:id="17"/>
    </w:p>
    <w:tbl>
      <w:tblPr>
        <w:tblStyle w:val="19"/>
        <w:tblW w:w="5005" w:type="pct"/>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1370"/>
        <w:gridCol w:w="5685"/>
      </w:tblGrid>
      <w:tr w14:paraId="5790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577" w:type="pct"/>
            <w:gridSpan w:val="2"/>
            <w:vAlign w:val="center"/>
          </w:tcPr>
          <w:p w14:paraId="29A5CEE8">
            <w:pPr>
              <w:snapToGrid w:val="0"/>
              <w:spacing w:line="320" w:lineRule="exact"/>
              <w:jc w:val="center"/>
              <w:rPr>
                <w:rFonts w:hint="eastAsia" w:ascii="宋体" w:hAnsi="宋体" w:cs="宋体"/>
                <w:sz w:val="21"/>
                <w:szCs w:val="21"/>
              </w:rPr>
            </w:pPr>
            <w:r>
              <w:rPr>
                <w:rFonts w:hint="eastAsia" w:ascii="宋体" w:hAnsi="宋体" w:cs="宋体"/>
                <w:sz w:val="21"/>
                <w:szCs w:val="21"/>
              </w:rPr>
              <w:t>条款号</w:t>
            </w:r>
          </w:p>
        </w:tc>
        <w:tc>
          <w:tcPr>
            <w:tcW w:w="3422" w:type="pct"/>
            <w:vAlign w:val="center"/>
          </w:tcPr>
          <w:p w14:paraId="58FF5C97">
            <w:pPr>
              <w:snapToGrid w:val="0"/>
              <w:spacing w:line="320" w:lineRule="exact"/>
              <w:jc w:val="center"/>
              <w:rPr>
                <w:rFonts w:hint="eastAsia" w:ascii="宋体" w:hAnsi="宋体" w:cs="宋体"/>
                <w:sz w:val="21"/>
                <w:szCs w:val="21"/>
              </w:rPr>
            </w:pPr>
            <w:r>
              <w:rPr>
                <w:rFonts w:hint="eastAsia" w:ascii="宋体" w:hAnsi="宋体" w:cs="宋体"/>
                <w:sz w:val="21"/>
                <w:szCs w:val="21"/>
              </w:rPr>
              <w:t>评审因素与评审标准</w:t>
            </w:r>
          </w:p>
        </w:tc>
      </w:tr>
      <w:tr w14:paraId="36F8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4AE4BA8C">
            <w:pPr>
              <w:snapToGrid w:val="0"/>
              <w:spacing w:line="320" w:lineRule="exact"/>
              <w:jc w:val="center"/>
              <w:rPr>
                <w:rFonts w:hint="eastAsia" w:ascii="宋体" w:hAnsi="宋体" w:cs="宋体"/>
                <w:sz w:val="21"/>
                <w:szCs w:val="21"/>
              </w:rPr>
            </w:pPr>
            <w:r>
              <w:rPr>
                <w:rFonts w:hint="eastAsia" w:ascii="宋体" w:hAnsi="宋体" w:cs="宋体"/>
                <w:sz w:val="21"/>
                <w:szCs w:val="21"/>
              </w:rPr>
              <w:t>1</w:t>
            </w:r>
          </w:p>
        </w:tc>
        <w:tc>
          <w:tcPr>
            <w:tcW w:w="825" w:type="pct"/>
            <w:vAlign w:val="center"/>
          </w:tcPr>
          <w:p w14:paraId="43D55889">
            <w:pPr>
              <w:snapToGrid w:val="0"/>
              <w:spacing w:line="320" w:lineRule="exact"/>
              <w:jc w:val="center"/>
              <w:rPr>
                <w:rFonts w:hint="eastAsia" w:ascii="宋体" w:hAnsi="宋体" w:cs="宋体"/>
                <w:sz w:val="21"/>
                <w:szCs w:val="21"/>
              </w:rPr>
            </w:pPr>
            <w:r>
              <w:rPr>
                <w:rFonts w:hint="eastAsia" w:ascii="宋体" w:hAnsi="宋体" w:cs="宋体"/>
                <w:sz w:val="21"/>
                <w:szCs w:val="21"/>
              </w:rPr>
              <w:t>评标方法</w:t>
            </w:r>
          </w:p>
        </w:tc>
        <w:tc>
          <w:tcPr>
            <w:tcW w:w="3422" w:type="pct"/>
            <w:vAlign w:val="center"/>
          </w:tcPr>
          <w:p w14:paraId="6AB26B24">
            <w:pPr>
              <w:snapToGrid w:val="0"/>
              <w:ind w:firstLine="420" w:firstLineChars="200"/>
              <w:jc w:val="left"/>
              <w:rPr>
                <w:rFonts w:hint="eastAsia" w:ascii="宋体" w:hAnsi="宋体" w:cs="宋体"/>
                <w:sz w:val="21"/>
                <w:szCs w:val="21"/>
              </w:rPr>
            </w:pPr>
            <w:r>
              <w:rPr>
                <w:rFonts w:hint="eastAsia" w:ascii="宋体" w:hAnsi="宋体" w:cs="宋体"/>
                <w:sz w:val="21"/>
                <w:szCs w:val="21"/>
              </w:rPr>
              <w:t>本次评标采用技术评分合理低价法，双信封形式。</w:t>
            </w:r>
          </w:p>
          <w:p w14:paraId="59C52915">
            <w:pPr>
              <w:snapToGrid w:val="0"/>
              <w:ind w:firstLine="420" w:firstLineChars="200"/>
              <w:jc w:val="left"/>
              <w:rPr>
                <w:rFonts w:hint="eastAsia" w:ascii="宋体" w:hAnsi="宋体" w:cs="宋体"/>
                <w:sz w:val="21"/>
                <w:szCs w:val="21"/>
              </w:rPr>
            </w:pPr>
            <w:r>
              <w:rPr>
                <w:rFonts w:ascii="宋体" w:hAnsi="宋体" w:cs="宋体"/>
                <w:sz w:val="21"/>
                <w:szCs w:val="21"/>
              </w:rPr>
              <w:t>评标委员</w:t>
            </w:r>
            <w:r>
              <w:rPr>
                <w:rFonts w:hint="eastAsia" w:ascii="宋体" w:hAnsi="宋体" w:cs="宋体"/>
                <w:sz w:val="21"/>
                <w:szCs w:val="21"/>
              </w:rPr>
              <w:t>会</w:t>
            </w:r>
            <w:r>
              <w:rPr>
                <w:rFonts w:ascii="宋体" w:hAnsi="宋体" w:cs="宋体"/>
                <w:sz w:val="21"/>
                <w:szCs w:val="21"/>
              </w:rPr>
              <w:t>对满足招标文件实质性要求的投标文件的施工组织设计、</w:t>
            </w:r>
            <w:bookmarkStart w:id="23" w:name="OLE_LINK18"/>
            <w:r>
              <w:rPr>
                <w:rFonts w:ascii="宋体" w:hAnsi="宋体" w:cs="宋体"/>
                <w:sz w:val="21"/>
                <w:szCs w:val="21"/>
              </w:rPr>
              <w:t>主要人员、企业业绩</w:t>
            </w:r>
            <w:bookmarkEnd w:id="23"/>
            <w:r>
              <w:rPr>
                <w:rFonts w:hint="eastAsia" w:ascii="宋体" w:hAnsi="宋体" w:cs="宋体"/>
                <w:sz w:val="21"/>
                <w:szCs w:val="21"/>
              </w:rPr>
              <w:t>（即第一信封）等因素</w:t>
            </w:r>
            <w:r>
              <w:rPr>
                <w:rFonts w:ascii="宋体" w:hAnsi="宋体" w:cs="宋体"/>
                <w:sz w:val="21"/>
                <w:szCs w:val="21"/>
              </w:rPr>
              <w:t>进行评分，按照得分由高到低排序，</w:t>
            </w:r>
            <w:r>
              <w:rPr>
                <w:rFonts w:hint="eastAsia" w:ascii="宋体" w:hAnsi="宋体" w:cs="宋体"/>
                <w:sz w:val="21"/>
                <w:szCs w:val="21"/>
              </w:rPr>
              <w:t>确定前5名</w:t>
            </w:r>
            <w:r>
              <w:rPr>
                <w:rFonts w:ascii="宋体" w:hAnsi="宋体" w:cs="宋体"/>
                <w:sz w:val="21"/>
                <w:szCs w:val="21"/>
              </w:rPr>
              <w:t>的投标人</w:t>
            </w:r>
            <w:r>
              <w:rPr>
                <w:rFonts w:hint="eastAsia" w:ascii="宋体" w:hAnsi="宋体" w:cs="宋体"/>
                <w:sz w:val="21"/>
                <w:szCs w:val="21"/>
              </w:rPr>
              <w:t>进入</w:t>
            </w:r>
            <w:r>
              <w:rPr>
                <w:rFonts w:ascii="宋体" w:hAnsi="宋体" w:cs="宋体"/>
                <w:sz w:val="21"/>
                <w:szCs w:val="21"/>
              </w:rPr>
              <w:t>报价文件</w:t>
            </w:r>
            <w:r>
              <w:rPr>
                <w:rFonts w:hint="eastAsia" w:ascii="宋体" w:hAnsi="宋体" w:cs="宋体"/>
                <w:sz w:val="21"/>
                <w:szCs w:val="21"/>
              </w:rPr>
              <w:t>（即第二信封）</w:t>
            </w:r>
            <w:r>
              <w:rPr>
                <w:rFonts w:ascii="宋体" w:hAnsi="宋体" w:cs="宋体"/>
                <w:sz w:val="21"/>
                <w:szCs w:val="21"/>
              </w:rPr>
              <w:t>评审</w:t>
            </w:r>
            <w:r>
              <w:rPr>
                <w:rFonts w:hint="eastAsia" w:ascii="宋体" w:hAnsi="宋体" w:cs="宋体"/>
                <w:sz w:val="21"/>
                <w:szCs w:val="21"/>
              </w:rPr>
              <w:t>。</w:t>
            </w:r>
          </w:p>
          <w:p w14:paraId="7BC5DEC5">
            <w:pPr>
              <w:snapToGrid w:val="0"/>
              <w:ind w:firstLine="420" w:firstLineChars="200"/>
              <w:jc w:val="left"/>
              <w:rPr>
                <w:rFonts w:hint="eastAsia" w:ascii="宋体" w:hAnsi="宋体" w:cs="宋体"/>
                <w:sz w:val="21"/>
                <w:szCs w:val="21"/>
              </w:rPr>
            </w:pPr>
            <w:r>
              <w:rPr>
                <w:rFonts w:ascii="宋体" w:hAnsi="宋体" w:cs="宋体"/>
                <w:sz w:val="21"/>
                <w:szCs w:val="21"/>
              </w:rPr>
              <w:t>第一信封得分相等时，</w:t>
            </w:r>
            <w:r>
              <w:rPr>
                <w:rFonts w:hint="eastAsia" w:ascii="宋体" w:hAnsi="宋体" w:cs="宋体"/>
                <w:sz w:val="21"/>
                <w:szCs w:val="21"/>
              </w:rPr>
              <w:t>施工组织设计得分高的优先；施工组织设计得分也相等的，以</w:t>
            </w:r>
            <w:r>
              <w:rPr>
                <w:rFonts w:ascii="宋体" w:hAnsi="宋体" w:cs="宋体"/>
                <w:sz w:val="21"/>
                <w:szCs w:val="21"/>
              </w:rPr>
              <w:t>满足资格审查条件（业绩最低要求）的业绩</w:t>
            </w:r>
            <w:r>
              <w:rPr>
                <w:rFonts w:hint="eastAsia" w:ascii="宋体" w:hAnsi="宋体" w:cs="宋体"/>
                <w:sz w:val="21"/>
                <w:szCs w:val="21"/>
              </w:rPr>
              <w:t>单项合同额最高</w:t>
            </w:r>
            <w:r>
              <w:rPr>
                <w:rFonts w:ascii="宋体" w:hAnsi="宋体" w:cs="宋体"/>
                <w:sz w:val="21"/>
                <w:szCs w:val="21"/>
              </w:rPr>
              <w:t>的优先，</w:t>
            </w:r>
            <w:r>
              <w:rPr>
                <w:rFonts w:hint="eastAsia" w:ascii="宋体" w:hAnsi="宋体" w:cs="宋体"/>
                <w:sz w:val="21"/>
                <w:szCs w:val="21"/>
              </w:rPr>
              <w:t>单项合同额</w:t>
            </w:r>
            <w:r>
              <w:rPr>
                <w:rFonts w:ascii="宋体" w:hAnsi="宋体" w:cs="宋体"/>
                <w:sz w:val="21"/>
                <w:szCs w:val="21"/>
              </w:rPr>
              <w:t>也相等时，以累计合同金额</w:t>
            </w:r>
            <w:r>
              <w:rPr>
                <w:rFonts w:hint="eastAsia" w:ascii="宋体" w:hAnsi="宋体" w:cs="宋体"/>
                <w:sz w:val="21"/>
                <w:szCs w:val="21"/>
              </w:rPr>
              <w:t>高</w:t>
            </w:r>
            <w:r>
              <w:rPr>
                <w:rFonts w:ascii="宋体" w:hAnsi="宋体" w:cs="宋体"/>
                <w:sz w:val="21"/>
                <w:szCs w:val="21"/>
              </w:rPr>
              <w:t>的优先</w:t>
            </w:r>
            <w:r>
              <w:rPr>
                <w:rFonts w:hint="eastAsia" w:ascii="宋体" w:hAnsi="宋体" w:cs="宋体"/>
                <w:sz w:val="21"/>
                <w:szCs w:val="21"/>
              </w:rPr>
              <w:t>。</w:t>
            </w:r>
          </w:p>
          <w:p w14:paraId="71002B17">
            <w:pPr>
              <w:snapToGrid w:val="0"/>
              <w:ind w:firstLine="420" w:firstLineChars="200"/>
              <w:jc w:val="left"/>
              <w:rPr>
                <w:rFonts w:hint="eastAsia" w:ascii="宋体" w:hAnsi="宋体" w:cs="宋体"/>
                <w:sz w:val="21"/>
                <w:szCs w:val="21"/>
              </w:rPr>
            </w:pPr>
            <w:r>
              <w:rPr>
                <w:rFonts w:hint="eastAsia" w:ascii="宋体" w:hAnsi="宋体" w:cs="宋体"/>
                <w:sz w:val="21"/>
                <w:szCs w:val="21"/>
              </w:rPr>
              <w:t>未通过第一信封评审或第一信封综合得分未进入前5名的投标人，其第二信封在整个评标期间不再开封，不随任何因素发生变化。</w:t>
            </w:r>
          </w:p>
          <w:p w14:paraId="2E82178E">
            <w:pPr>
              <w:snapToGrid w:val="0"/>
              <w:ind w:firstLine="420" w:firstLineChars="200"/>
              <w:jc w:val="left"/>
              <w:rPr>
                <w:rFonts w:hint="eastAsia" w:ascii="宋体" w:hAnsi="宋体" w:cs="宋体"/>
                <w:sz w:val="21"/>
                <w:szCs w:val="21"/>
              </w:rPr>
            </w:pPr>
            <w:r>
              <w:rPr>
                <w:rFonts w:hint="eastAsia" w:ascii="宋体" w:hAnsi="宋体" w:cs="宋体"/>
                <w:sz w:val="21"/>
                <w:szCs w:val="21"/>
              </w:rPr>
              <w:t>若通过第一信封初步评审的投标人不足5家时，则第一信封不再进行打分，通过第一信封的所有投标人直接进入报价文件（即第二信封）评审</w:t>
            </w:r>
            <w:r>
              <w:rPr>
                <w:rFonts w:ascii="宋体" w:hAnsi="宋体" w:cs="宋体"/>
                <w:sz w:val="21"/>
                <w:szCs w:val="21"/>
              </w:rPr>
              <w:t>。</w:t>
            </w:r>
          </w:p>
          <w:p w14:paraId="4FCE6259">
            <w:pPr>
              <w:snapToGrid w:val="0"/>
              <w:ind w:firstLine="420" w:firstLineChars="200"/>
              <w:jc w:val="left"/>
              <w:rPr>
                <w:rFonts w:hint="eastAsia" w:ascii="宋体" w:hAnsi="宋体" w:cs="宋体"/>
                <w:sz w:val="21"/>
                <w:szCs w:val="21"/>
              </w:rPr>
            </w:pPr>
            <w:r>
              <w:rPr>
                <w:rFonts w:hint="eastAsia" w:ascii="宋体" w:hAnsi="宋体" w:cs="宋体"/>
                <w:sz w:val="21"/>
                <w:szCs w:val="21"/>
              </w:rPr>
              <w:t>评标委员会对通过第二信封初步评审的投标人，按其评标价得分由高到低的顺序，向招标人推荐1-3名中标候选</w:t>
            </w:r>
            <w:r>
              <w:rPr>
                <w:rFonts w:hint="eastAsia"/>
                <w:sz w:val="21"/>
                <w:szCs w:val="24"/>
              </w:rPr>
              <w:t>人。</w:t>
            </w:r>
            <w:r>
              <w:rPr>
                <w:rFonts w:ascii="宋体" w:hAnsi="宋体" w:cs="宋体"/>
                <w:sz w:val="21"/>
                <w:szCs w:val="21"/>
              </w:rPr>
              <w:t>评标价</w:t>
            </w:r>
            <w:r>
              <w:rPr>
                <w:rFonts w:hint="eastAsia" w:ascii="宋体" w:hAnsi="宋体" w:cs="宋体"/>
                <w:sz w:val="21"/>
                <w:szCs w:val="21"/>
              </w:rPr>
              <w:t>得分</w:t>
            </w:r>
            <w:r>
              <w:rPr>
                <w:rFonts w:ascii="宋体" w:hAnsi="宋体" w:cs="宋体"/>
                <w:sz w:val="21"/>
                <w:szCs w:val="21"/>
              </w:rPr>
              <w:t>相等时，评标委员会按照以下优先顺序推荐中标候选人：</w:t>
            </w:r>
          </w:p>
          <w:p w14:paraId="3B9FE047">
            <w:pPr>
              <w:snapToGrid w:val="0"/>
              <w:ind w:firstLine="420" w:firstLineChars="200"/>
              <w:jc w:val="left"/>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评标价</w:t>
            </w:r>
            <w:r>
              <w:rPr>
                <w:rFonts w:ascii="宋体" w:hAnsi="宋体" w:cs="宋体"/>
                <w:sz w:val="21"/>
                <w:szCs w:val="21"/>
              </w:rPr>
              <w:t>低的优先；</w:t>
            </w:r>
          </w:p>
          <w:p w14:paraId="7F6BC580">
            <w:pPr>
              <w:snapToGrid w:val="0"/>
              <w:ind w:firstLine="420" w:firstLineChars="200"/>
              <w:jc w:val="left"/>
              <w:rPr>
                <w:rFonts w:hint="eastAsia" w:ascii="宋体" w:hAnsi="宋体" w:cs="宋体"/>
                <w:sz w:val="21"/>
                <w:szCs w:val="21"/>
              </w:rPr>
            </w:pPr>
            <w:r>
              <w:rPr>
                <w:rFonts w:ascii="宋体" w:hAnsi="宋体" w:cs="宋体"/>
                <w:sz w:val="21"/>
                <w:szCs w:val="21"/>
              </w:rPr>
              <w:t>（2）第一信封得分高的投标人优先</w:t>
            </w:r>
            <w:r>
              <w:rPr>
                <w:rFonts w:hint="eastAsia" w:ascii="宋体" w:hAnsi="宋体" w:cs="宋体"/>
                <w:sz w:val="21"/>
                <w:szCs w:val="21"/>
              </w:rPr>
              <w:t>；</w:t>
            </w:r>
          </w:p>
          <w:p w14:paraId="6484CB2A">
            <w:pPr>
              <w:snapToGrid w:val="0"/>
              <w:ind w:firstLine="420" w:firstLineChars="200"/>
              <w:jc w:val="left"/>
              <w:rPr>
                <w:rFonts w:hint="eastAsia" w:ascii="宋体" w:hAnsi="宋体" w:cs="宋体"/>
                <w:sz w:val="21"/>
                <w:szCs w:val="21"/>
              </w:rPr>
            </w:pPr>
            <w:r>
              <w:rPr>
                <w:rFonts w:hint="eastAsia" w:ascii="宋体" w:hAnsi="宋体" w:cs="宋体"/>
                <w:sz w:val="21"/>
                <w:szCs w:val="21"/>
              </w:rPr>
              <w:t>（3）以</w:t>
            </w:r>
            <w:r>
              <w:rPr>
                <w:rFonts w:ascii="宋体" w:hAnsi="宋体" w:cs="宋体"/>
                <w:sz w:val="21"/>
                <w:szCs w:val="21"/>
              </w:rPr>
              <w:t>满足资格审查条件（业绩最低要求）的业绩</w:t>
            </w:r>
            <w:r>
              <w:rPr>
                <w:rFonts w:hint="eastAsia" w:ascii="宋体" w:hAnsi="宋体" w:cs="宋体"/>
                <w:sz w:val="21"/>
                <w:szCs w:val="21"/>
              </w:rPr>
              <w:t>单项合同额最高</w:t>
            </w:r>
            <w:r>
              <w:rPr>
                <w:rFonts w:ascii="宋体" w:hAnsi="宋体" w:cs="宋体"/>
                <w:sz w:val="21"/>
                <w:szCs w:val="21"/>
              </w:rPr>
              <w:t>的优先，</w:t>
            </w:r>
            <w:r>
              <w:rPr>
                <w:rFonts w:hint="eastAsia" w:ascii="宋体" w:hAnsi="宋体" w:cs="宋体"/>
                <w:sz w:val="21"/>
                <w:szCs w:val="21"/>
              </w:rPr>
              <w:t>单项合同额</w:t>
            </w:r>
            <w:r>
              <w:rPr>
                <w:rFonts w:ascii="宋体" w:hAnsi="宋体" w:cs="宋体"/>
                <w:sz w:val="21"/>
                <w:szCs w:val="21"/>
              </w:rPr>
              <w:t>也相等时，以累计合同金额</w:t>
            </w:r>
            <w:r>
              <w:rPr>
                <w:rFonts w:hint="eastAsia" w:ascii="宋体" w:hAnsi="宋体" w:cs="宋体"/>
                <w:sz w:val="21"/>
                <w:szCs w:val="21"/>
              </w:rPr>
              <w:t>高</w:t>
            </w:r>
            <w:r>
              <w:rPr>
                <w:rFonts w:ascii="宋体" w:hAnsi="宋体" w:cs="宋体"/>
                <w:sz w:val="21"/>
                <w:szCs w:val="21"/>
              </w:rPr>
              <w:t>的优先</w:t>
            </w:r>
            <w:r>
              <w:rPr>
                <w:rFonts w:hint="eastAsia" w:ascii="宋体" w:hAnsi="宋体" w:cs="宋体"/>
                <w:sz w:val="21"/>
                <w:szCs w:val="21"/>
              </w:rPr>
              <w:t>。</w:t>
            </w:r>
          </w:p>
          <w:p w14:paraId="5572FA46">
            <w:pPr>
              <w:snapToGrid w:val="0"/>
              <w:ind w:firstLine="420" w:firstLineChars="200"/>
              <w:jc w:val="left"/>
              <w:rPr>
                <w:rFonts w:hint="eastAsia" w:ascii="宋体" w:hAnsi="宋体" w:cs="宋体"/>
                <w:sz w:val="21"/>
                <w:szCs w:val="21"/>
              </w:rPr>
            </w:pPr>
            <w:r>
              <w:rPr>
                <w:rFonts w:ascii="宋体" w:hAnsi="宋体" w:cs="宋体"/>
                <w:sz w:val="21"/>
                <w:szCs w:val="21"/>
              </w:rPr>
              <w:t>通过第二信封报价文件评审的投标人少于3个的，评标委员会可以否决全部投标；未否决全部投标的，评标委员会应当在评标报告中阐明理由并推荐中标候选人。</w:t>
            </w:r>
          </w:p>
        </w:tc>
      </w:tr>
      <w:tr w14:paraId="16AD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6C818923">
            <w:pPr>
              <w:snapToGrid w:val="0"/>
              <w:spacing w:line="320" w:lineRule="exact"/>
              <w:jc w:val="center"/>
              <w:rPr>
                <w:rFonts w:hint="eastAsia" w:ascii="宋体" w:hAnsi="宋体" w:cs="宋体"/>
                <w:sz w:val="21"/>
                <w:szCs w:val="21"/>
              </w:rPr>
            </w:pPr>
            <w:r>
              <w:rPr>
                <w:rFonts w:hint="eastAsia" w:ascii="宋体" w:hAnsi="宋体" w:cs="宋体"/>
                <w:sz w:val="21"/>
                <w:szCs w:val="21"/>
              </w:rPr>
              <w:t>2.1.1</w:t>
            </w:r>
          </w:p>
          <w:p w14:paraId="4076F41C">
            <w:pPr>
              <w:snapToGrid w:val="0"/>
              <w:spacing w:line="320" w:lineRule="exact"/>
              <w:jc w:val="center"/>
              <w:rPr>
                <w:rFonts w:hint="eastAsia" w:ascii="宋体" w:hAnsi="宋体" w:cs="宋体"/>
                <w:sz w:val="21"/>
                <w:szCs w:val="21"/>
              </w:rPr>
            </w:pPr>
            <w:r>
              <w:rPr>
                <w:rFonts w:hint="eastAsia" w:ascii="宋体" w:hAnsi="宋体" w:cs="宋体"/>
                <w:sz w:val="21"/>
                <w:szCs w:val="21"/>
              </w:rPr>
              <w:t>2.1.3</w:t>
            </w:r>
          </w:p>
        </w:tc>
        <w:tc>
          <w:tcPr>
            <w:tcW w:w="825" w:type="pct"/>
            <w:vAlign w:val="center"/>
          </w:tcPr>
          <w:p w14:paraId="2E7F9B55">
            <w:pPr>
              <w:snapToGrid w:val="0"/>
              <w:spacing w:line="320" w:lineRule="exact"/>
              <w:jc w:val="center"/>
              <w:rPr>
                <w:rFonts w:hint="eastAsia" w:ascii="宋体" w:hAnsi="宋体" w:cs="宋体"/>
                <w:sz w:val="21"/>
                <w:szCs w:val="21"/>
              </w:rPr>
            </w:pPr>
            <w:r>
              <w:rPr>
                <w:rFonts w:hint="eastAsia" w:ascii="宋体" w:hAnsi="宋体" w:cs="宋体"/>
                <w:sz w:val="21"/>
                <w:szCs w:val="21"/>
              </w:rPr>
              <w:t>形式评审与响应性评审标准</w:t>
            </w:r>
          </w:p>
        </w:tc>
        <w:tc>
          <w:tcPr>
            <w:tcW w:w="3422" w:type="pct"/>
          </w:tcPr>
          <w:p w14:paraId="7076D874">
            <w:pPr>
              <w:tabs>
                <w:tab w:val="left" w:pos="3060"/>
              </w:tabs>
              <w:snapToGrid w:val="0"/>
              <w:ind w:firstLine="406" w:firstLineChars="200"/>
              <w:jc w:val="left"/>
              <w:rPr>
                <w:rFonts w:hint="eastAsia" w:ascii="宋体" w:hAnsi="宋体" w:cs="宋体"/>
                <w:b/>
                <w:bCs/>
                <w:spacing w:val="-4"/>
                <w:sz w:val="21"/>
                <w:szCs w:val="21"/>
              </w:rPr>
            </w:pPr>
            <w:r>
              <w:rPr>
                <w:rFonts w:hint="eastAsia" w:ascii="宋体" w:hAnsi="宋体" w:cs="宋体"/>
                <w:b/>
                <w:bCs/>
                <w:spacing w:val="-4"/>
                <w:sz w:val="21"/>
                <w:szCs w:val="21"/>
              </w:rPr>
              <w:t>第一个信封（商务文件）评审标准（明标部分）：</w:t>
            </w:r>
          </w:p>
          <w:p w14:paraId="1A5ACC69">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（1）投标文件按照招标文件规定的格式、内容填写，字迹清晰可辨：</w:t>
            </w:r>
          </w:p>
          <w:p w14:paraId="28608BC6">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a．投标函按招标文件规定填报了招标人名称、项目名称、补遗书编号（如有）、施工工期、缺陷责任期、</w:t>
            </w:r>
            <w:r>
              <w:rPr>
                <w:rFonts w:hint="eastAsia" w:ascii="宋体" w:hAnsi="宋体" w:cs="宋体"/>
                <w:spacing w:val="-4"/>
                <w:sz w:val="21"/>
                <w:szCs w:val="21"/>
              </w:rPr>
              <w:t>项目经理和项目总工</w:t>
            </w:r>
            <w:r>
              <w:rPr>
                <w:rFonts w:hint="eastAsia" w:ascii="宋体" w:hAnsi="宋体" w:cs="宋体"/>
                <w:sz w:val="21"/>
                <w:szCs w:val="21"/>
              </w:rPr>
              <w:t>等内容，</w:t>
            </w:r>
            <w:r>
              <w:rPr>
                <w:sz w:val="21"/>
                <w:szCs w:val="21"/>
              </w:rPr>
              <w:t>未对投标函中填写的</w:t>
            </w:r>
            <w:r>
              <w:rPr>
                <w:rFonts w:hint="eastAsia" w:ascii="宋体" w:hAnsi="宋体" w:cs="宋体"/>
                <w:spacing w:val="-4"/>
                <w:sz w:val="21"/>
                <w:szCs w:val="21"/>
              </w:rPr>
              <w:t>工程质量、安全目标、计划开工日期</w:t>
            </w:r>
            <w:r>
              <w:rPr>
                <w:sz w:val="21"/>
                <w:szCs w:val="21"/>
              </w:rPr>
              <w:t>进行修改</w:t>
            </w:r>
            <w:r>
              <w:rPr>
                <w:rFonts w:hint="eastAsia" w:ascii="宋体" w:hAnsi="宋体" w:cs="宋体"/>
                <w:szCs w:val="21"/>
              </w:rPr>
              <w:t>；</w:t>
            </w:r>
          </w:p>
          <w:p w14:paraId="1ADEE42D">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b．投标函附录的所有数据均符合招标文件规定。</w:t>
            </w:r>
          </w:p>
          <w:p w14:paraId="73E4637E">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c.投标文件组成齐全完整，内容均按规定填写。</w:t>
            </w:r>
          </w:p>
          <w:p w14:paraId="1BC9CE1D">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（2）投标文件上法定代表人或其授权代理人的签字、投标人的单位章盖章齐全，符合招标文件规定。</w:t>
            </w:r>
          </w:p>
          <w:p w14:paraId="27F4F365">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（3）投标人按照招标文件的规定提供了投标保证金，满足招标文件投标人须知前附表第3.4.1款要求。</w:t>
            </w:r>
          </w:p>
          <w:p w14:paraId="7B2A40C1">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（4）投标人法定代表人授权委托代理人签署投标文件的，</w:t>
            </w:r>
            <w:r>
              <w:rPr>
                <w:rFonts w:ascii="宋体" w:hAnsi="宋体" w:cs="宋体"/>
                <w:sz w:val="21"/>
                <w:szCs w:val="21"/>
              </w:rPr>
              <w:t>提供了授权委托书</w:t>
            </w:r>
            <w:r>
              <w:rPr>
                <w:rFonts w:hint="eastAsia" w:ascii="宋体" w:hAnsi="宋体" w:cs="宋体"/>
                <w:sz w:val="21"/>
                <w:szCs w:val="21"/>
              </w:rPr>
              <w:t>，授权委托书符合招标文件规定。</w:t>
            </w:r>
          </w:p>
          <w:p w14:paraId="1F032EDE">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（5）投标人法定代表人亲自签署投标文件的，提供了法定代表人身份证明，法定代表人身份证明符合招标文件规定。</w:t>
            </w:r>
          </w:p>
          <w:p w14:paraId="5829ACC6">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（6）投标人未以联合体形式投标。</w:t>
            </w:r>
          </w:p>
          <w:p w14:paraId="51D615A0">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（7）投标人未提出分包计划</w:t>
            </w:r>
            <w:r>
              <w:rPr>
                <w:rFonts w:ascii="宋体" w:hAnsi="宋体" w:cs="宋体"/>
                <w:sz w:val="21"/>
                <w:szCs w:val="21"/>
              </w:rPr>
              <w:t>。</w:t>
            </w:r>
          </w:p>
          <w:p w14:paraId="1D0871F8">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（8）同一投标人未提交两个以上不同的投标文件。</w:t>
            </w:r>
          </w:p>
          <w:p w14:paraId="6808FE93">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（9）投标文件中未出现有关投标报价的内容。</w:t>
            </w:r>
          </w:p>
          <w:p w14:paraId="3C1B322E">
            <w:pPr>
              <w:tabs>
                <w:tab w:val="left" w:pos="3060"/>
              </w:tabs>
              <w:snapToGrid w:val="0"/>
              <w:ind w:firstLine="420" w:firstLineChars="200"/>
              <w:rPr>
                <w:rFonts w:hint="eastAsia" w:ascii="宋体" w:hAnsi="宋体" w:cs="宋体"/>
                <w:bCs/>
                <w:sz w:val="21"/>
                <w:szCs w:val="21"/>
              </w:rPr>
            </w:pPr>
            <w:r>
              <w:rPr>
                <w:rFonts w:hint="eastAsia" w:ascii="宋体" w:hAnsi="宋体" w:cs="宋体"/>
                <w:sz w:val="21"/>
                <w:szCs w:val="21"/>
              </w:rPr>
              <w:t>（10）投标文件载明的招标项</w:t>
            </w:r>
            <w:r>
              <w:rPr>
                <w:rFonts w:hint="eastAsia" w:ascii="宋体" w:hAnsi="宋体" w:cs="宋体"/>
                <w:bCs/>
                <w:sz w:val="21"/>
                <w:szCs w:val="21"/>
              </w:rPr>
              <w:t>目完成期限未超过招标文件规定的时限。</w:t>
            </w:r>
          </w:p>
          <w:p w14:paraId="7A60F44F">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（11）投标文件对招标文件的实质性要求和条件作出响应。</w:t>
            </w:r>
          </w:p>
          <w:p w14:paraId="74898696">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（12）权利义务符合招标文件规定：</w:t>
            </w:r>
          </w:p>
          <w:p w14:paraId="5AFD2D7D">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a．投标人应接受招标文件规定的风险划分原则，未提出新的风险划分办法；</w:t>
            </w:r>
          </w:p>
          <w:p w14:paraId="3DC6FE22">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b．投标人未增加发包人的责任范围，或减少投标人义务；</w:t>
            </w:r>
          </w:p>
          <w:p w14:paraId="16104382">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c．投标人未提出不同的工程验收、计量、支付办法；</w:t>
            </w:r>
          </w:p>
          <w:p w14:paraId="08FA8DF3">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d．投标人对合同纠纷、事故处理办法未提出异议；</w:t>
            </w:r>
          </w:p>
          <w:p w14:paraId="0F244DD7">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e．投标人在投标活动中无欺诈行为；</w:t>
            </w:r>
          </w:p>
          <w:p w14:paraId="7ECAEB2C">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f．投标人未对合同条款有重要保留；</w:t>
            </w:r>
          </w:p>
          <w:p w14:paraId="49ACEE6B">
            <w:pPr>
              <w:tabs>
                <w:tab w:val="left" w:pos="3060"/>
              </w:tabs>
              <w:snapToGrid w:val="0"/>
              <w:ind w:firstLine="406" w:firstLineChars="200"/>
              <w:jc w:val="left"/>
              <w:rPr>
                <w:rFonts w:hint="eastAsia" w:ascii="宋体" w:hAnsi="宋体" w:cs="宋体"/>
                <w:sz w:val="21"/>
                <w:szCs w:val="21"/>
              </w:rPr>
            </w:pPr>
            <w:r>
              <w:rPr>
                <w:rFonts w:hint="eastAsia" w:ascii="宋体" w:hAnsi="宋体" w:cs="宋体"/>
                <w:b/>
                <w:bCs/>
                <w:spacing w:val="-4"/>
                <w:sz w:val="21"/>
                <w:szCs w:val="21"/>
              </w:rPr>
              <w:t>第一个信封（技术文件）评审标准（暗标部分）：</w:t>
            </w:r>
          </w:p>
          <w:p w14:paraId="0A436D65">
            <w:pPr>
              <w:tabs>
                <w:tab w:val="left" w:pos="3060"/>
              </w:tabs>
              <w:snapToGrid w:val="0"/>
              <w:ind w:firstLine="420" w:firstLineChars="200"/>
              <w:jc w:val="left"/>
              <w:rPr>
                <w:rFonts w:hint="eastAsia" w:ascii="宋体" w:hAnsi="宋体" w:cs="宋体"/>
                <w:kern w:val="2"/>
                <w:sz w:val="21"/>
                <w:szCs w:val="21"/>
              </w:rPr>
            </w:pPr>
            <w:r>
              <w:rPr>
                <w:rFonts w:hint="eastAsia" w:ascii="宋体" w:hAnsi="宋体" w:cs="宋体"/>
                <w:kern w:val="2"/>
                <w:sz w:val="21"/>
                <w:szCs w:val="21"/>
              </w:rPr>
              <w:t>（1）</w:t>
            </w:r>
            <w:r>
              <w:rPr>
                <w:rFonts w:hint="eastAsia" w:ascii="宋体" w:hAnsi="宋体" w:cs="宋体"/>
                <w:sz w:val="21"/>
                <w:szCs w:val="21"/>
              </w:rPr>
              <w:t>施工组织设计（暗标）编制符合招标文件第二章“投标人须知”第10.2款的规定</w:t>
            </w:r>
            <w:r>
              <w:rPr>
                <w:rFonts w:hint="eastAsia" w:ascii="宋体" w:hAnsi="宋体" w:cs="宋体"/>
                <w:kern w:val="2"/>
                <w:sz w:val="21"/>
                <w:szCs w:val="21"/>
              </w:rPr>
              <w:t>。</w:t>
            </w:r>
          </w:p>
          <w:p w14:paraId="57C86C18">
            <w:pPr>
              <w:tabs>
                <w:tab w:val="left" w:pos="3060"/>
              </w:tabs>
              <w:snapToGrid w:val="0"/>
              <w:ind w:firstLine="422" w:firstLineChars="200"/>
              <w:rPr>
                <w:rFonts w:hint="eastAsia" w:ascii="宋体" w:hAnsi="宋体" w:cs="宋体"/>
                <w:b/>
                <w:sz w:val="21"/>
                <w:szCs w:val="21"/>
              </w:rPr>
            </w:pPr>
            <w:r>
              <w:rPr>
                <w:rFonts w:hint="eastAsia" w:ascii="宋体" w:hAnsi="宋体" w:cs="宋体"/>
                <w:b/>
                <w:sz w:val="21"/>
                <w:szCs w:val="21"/>
              </w:rPr>
              <w:t>第二个信封（报价文件）评审标准：</w:t>
            </w:r>
          </w:p>
          <w:p w14:paraId="3EE7BB98">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（1）投标文件按照招标文件规定的格式、内容填写，字迹清晰可辨，内容齐全完整：</w:t>
            </w:r>
          </w:p>
          <w:p w14:paraId="5B149F1E">
            <w:pPr>
              <w:snapToGrid w:val="0"/>
              <w:ind w:firstLine="420" w:firstLineChars="200"/>
              <w:rPr>
                <w:rFonts w:hint="eastAsia" w:ascii="宋体" w:hAnsi="宋体" w:cs="宋体"/>
                <w:sz w:val="21"/>
                <w:szCs w:val="21"/>
              </w:rPr>
            </w:pPr>
            <w:r>
              <w:rPr>
                <w:rFonts w:hint="eastAsia" w:ascii="宋体" w:hAnsi="宋体" w:cs="宋体"/>
                <w:sz w:val="21"/>
                <w:szCs w:val="21"/>
              </w:rPr>
              <w:t>a．投标函按招标文件规定填报了招标人名称、项目名称、补遗书编号（如有）、投标报价（包括大写金额和小写金额）；</w:t>
            </w:r>
          </w:p>
          <w:p w14:paraId="41292720">
            <w:pPr>
              <w:snapToGrid w:val="0"/>
              <w:ind w:firstLine="420" w:firstLineChars="200"/>
              <w:rPr>
                <w:rFonts w:hint="eastAsia" w:ascii="宋体" w:hAnsi="宋体" w:cs="宋体"/>
                <w:sz w:val="21"/>
                <w:szCs w:val="21"/>
              </w:rPr>
            </w:pPr>
            <w:r>
              <w:rPr>
                <w:rFonts w:hint="eastAsia" w:ascii="宋体" w:hAnsi="宋体" w:cs="宋体"/>
                <w:sz w:val="21"/>
                <w:szCs w:val="21"/>
              </w:rPr>
              <w:t>b．已标价工程量清单说明文字与招标文件规定一致，未进行实质性修改和删减；</w:t>
            </w:r>
          </w:p>
          <w:p w14:paraId="62CEDFAC">
            <w:pPr>
              <w:tabs>
                <w:tab w:val="left" w:pos="3060"/>
              </w:tabs>
              <w:snapToGrid w:val="0"/>
              <w:ind w:firstLine="420" w:firstLineChars="200"/>
              <w:rPr>
                <w:rFonts w:hint="eastAsia" w:ascii="宋体" w:hAnsi="宋体" w:cs="宋体"/>
                <w:sz w:val="21"/>
                <w:szCs w:val="21"/>
              </w:rPr>
            </w:pPr>
            <w:r>
              <w:rPr>
                <w:rFonts w:hint="eastAsia" w:ascii="宋体" w:hAnsi="宋体" w:cs="宋体"/>
                <w:sz w:val="21"/>
                <w:szCs w:val="21"/>
              </w:rPr>
              <w:t>c．投标文件组成齐全完整，内容均按规定填写；</w:t>
            </w:r>
          </w:p>
          <w:p w14:paraId="3567BCA6">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（2）投标文件上法定代表人或其授权代理人的签字、投标人的单位章盖章齐全，符合招标文件规定；</w:t>
            </w:r>
          </w:p>
          <w:p w14:paraId="67BD0D1C">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（3）投标报价未超过招标文件设定的最高投标限价；</w:t>
            </w:r>
          </w:p>
          <w:p w14:paraId="5AACDF16">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（4）投标报价大写金额能够确定具体数值；</w:t>
            </w:r>
          </w:p>
          <w:p w14:paraId="34F728C2">
            <w:pPr>
              <w:tabs>
                <w:tab w:val="left" w:pos="3060"/>
              </w:tabs>
              <w:snapToGrid w:val="0"/>
              <w:ind w:firstLine="420" w:firstLineChars="200"/>
              <w:rPr>
                <w:rFonts w:hint="eastAsia" w:ascii="宋体" w:hAnsi="宋体" w:cs="宋体"/>
                <w:bCs/>
                <w:sz w:val="21"/>
                <w:szCs w:val="21"/>
              </w:rPr>
            </w:pPr>
            <w:r>
              <w:rPr>
                <w:rFonts w:hint="eastAsia" w:ascii="宋体" w:hAnsi="宋体" w:cs="宋体"/>
                <w:bCs/>
                <w:sz w:val="21"/>
                <w:szCs w:val="21"/>
              </w:rPr>
              <w:t>（5）投标人未提交两个以上不同的投标报价；</w:t>
            </w:r>
          </w:p>
          <w:p w14:paraId="08E3652F">
            <w:pPr>
              <w:tabs>
                <w:tab w:val="left" w:pos="3060"/>
              </w:tabs>
              <w:snapToGrid w:val="0"/>
              <w:ind w:firstLine="420" w:firstLineChars="200"/>
              <w:rPr>
                <w:rFonts w:hint="eastAsia" w:ascii="宋体" w:hAnsi="宋体" w:cs="宋体"/>
                <w:kern w:val="2"/>
                <w:sz w:val="21"/>
                <w:szCs w:val="21"/>
              </w:rPr>
            </w:pPr>
            <w:r>
              <w:rPr>
                <w:rFonts w:hint="eastAsia" w:ascii="宋体" w:hAnsi="宋体" w:cs="宋体"/>
                <w:bCs/>
                <w:sz w:val="21"/>
                <w:szCs w:val="21"/>
              </w:rPr>
              <w:t>（6）</w:t>
            </w:r>
            <w:r>
              <w:rPr>
                <w:rFonts w:hint="eastAsia" w:ascii="宋体" w:hAnsi="宋体" w:cs="宋体"/>
                <w:kern w:val="2"/>
                <w:sz w:val="21"/>
                <w:szCs w:val="21"/>
              </w:rPr>
              <w:t>已标价的工程量清单未对招标人提供的工程量固化清单电子文件中的数据、格式和运算定义进行修改；已标价的工程量清单中的投标报价和投标函大写金额报价一致。</w:t>
            </w:r>
          </w:p>
        </w:tc>
      </w:tr>
      <w:tr w14:paraId="5234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752" w:type="pct"/>
            <w:vAlign w:val="center"/>
          </w:tcPr>
          <w:p w14:paraId="172A1F8F">
            <w:pPr>
              <w:snapToGrid w:val="0"/>
              <w:spacing w:line="320" w:lineRule="exact"/>
              <w:jc w:val="center"/>
              <w:rPr>
                <w:rFonts w:hint="eastAsia" w:ascii="宋体" w:hAnsi="宋体" w:cs="宋体"/>
                <w:sz w:val="21"/>
                <w:szCs w:val="21"/>
              </w:rPr>
            </w:pPr>
            <w:r>
              <w:rPr>
                <w:rFonts w:hint="eastAsia" w:ascii="宋体" w:hAnsi="宋体" w:cs="宋体"/>
                <w:sz w:val="21"/>
                <w:szCs w:val="21"/>
              </w:rPr>
              <w:t>2.1.2</w:t>
            </w:r>
          </w:p>
        </w:tc>
        <w:tc>
          <w:tcPr>
            <w:tcW w:w="825" w:type="pct"/>
            <w:vAlign w:val="center"/>
          </w:tcPr>
          <w:p w14:paraId="46098039">
            <w:pPr>
              <w:snapToGrid w:val="0"/>
              <w:spacing w:line="320" w:lineRule="exact"/>
              <w:jc w:val="center"/>
              <w:rPr>
                <w:rFonts w:hint="eastAsia" w:ascii="宋体" w:hAnsi="宋体" w:cs="宋体"/>
                <w:sz w:val="21"/>
                <w:szCs w:val="21"/>
              </w:rPr>
            </w:pPr>
            <w:r>
              <w:rPr>
                <w:rFonts w:hint="eastAsia" w:ascii="宋体" w:hAnsi="宋体" w:cs="宋体"/>
                <w:sz w:val="21"/>
                <w:szCs w:val="21"/>
              </w:rPr>
              <w:t>资格评审标准</w:t>
            </w:r>
          </w:p>
        </w:tc>
        <w:tc>
          <w:tcPr>
            <w:tcW w:w="3422" w:type="pct"/>
          </w:tcPr>
          <w:p w14:paraId="7588EB49">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（1）投标人具备有效的营业执照、资质证书、安全生产许可证和基本账户开户许可证（或基本存款账户信息）。</w:t>
            </w:r>
          </w:p>
          <w:p w14:paraId="20B754E5">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（2）投标人的资质等级符合招标文件规定。</w:t>
            </w:r>
          </w:p>
          <w:p w14:paraId="344094F5">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（3）投标人的财务状况符合招标文件规定。</w:t>
            </w:r>
          </w:p>
          <w:p w14:paraId="2C9F4496">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（4）投标人的业绩符合招标文件规定。</w:t>
            </w:r>
          </w:p>
          <w:p w14:paraId="7516F034">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（5）投标人的信誉符合招标文件规定。</w:t>
            </w:r>
          </w:p>
          <w:p w14:paraId="0C09E032">
            <w:pPr>
              <w:tabs>
                <w:tab w:val="left" w:pos="3060"/>
              </w:tabs>
              <w:snapToGrid w:val="0"/>
              <w:ind w:firstLine="420" w:firstLineChars="200"/>
              <w:jc w:val="left"/>
              <w:rPr>
                <w:rFonts w:hint="eastAsia" w:ascii="宋体" w:hAnsi="宋体" w:cs="宋体"/>
                <w:bCs/>
                <w:sz w:val="21"/>
                <w:szCs w:val="21"/>
              </w:rPr>
            </w:pPr>
            <w:r>
              <w:rPr>
                <w:rFonts w:hint="eastAsia" w:ascii="宋体" w:hAnsi="宋体" w:cs="宋体"/>
                <w:bCs/>
                <w:sz w:val="21"/>
                <w:szCs w:val="21"/>
              </w:rPr>
              <w:t>（6）投标人的项目经理和项目总工资格符合招标文件规定。</w:t>
            </w:r>
          </w:p>
          <w:p w14:paraId="71EAA7D1">
            <w:pPr>
              <w:tabs>
                <w:tab w:val="left" w:pos="3060"/>
              </w:tabs>
              <w:snapToGrid w:val="0"/>
              <w:ind w:firstLine="420" w:firstLineChars="200"/>
              <w:jc w:val="left"/>
            </w:pPr>
            <w:r>
              <w:rPr>
                <w:rFonts w:hint="eastAsia" w:ascii="宋体" w:hAnsi="宋体" w:cs="宋体"/>
                <w:bCs/>
                <w:sz w:val="21"/>
                <w:szCs w:val="21"/>
              </w:rPr>
              <w:t>（7）投标人不存在第二章“投标人须知”第 1.4.3 项或第 1.4.4 项规定的任何一种情形。</w:t>
            </w:r>
          </w:p>
        </w:tc>
      </w:tr>
      <w:tr w14:paraId="00A7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534D6A6D">
            <w:pPr>
              <w:snapToGrid w:val="0"/>
              <w:spacing w:line="320" w:lineRule="exact"/>
              <w:jc w:val="center"/>
              <w:rPr>
                <w:rFonts w:hint="eastAsia" w:ascii="宋体" w:hAnsi="宋体" w:cs="宋体"/>
                <w:sz w:val="21"/>
                <w:szCs w:val="21"/>
              </w:rPr>
            </w:pPr>
            <w:r>
              <w:rPr>
                <w:rFonts w:hint="eastAsia" w:ascii="宋体" w:hAnsi="宋体" w:cs="宋体"/>
                <w:sz w:val="21"/>
                <w:szCs w:val="21"/>
              </w:rPr>
              <w:t>2.2.1</w:t>
            </w:r>
          </w:p>
        </w:tc>
        <w:tc>
          <w:tcPr>
            <w:tcW w:w="825" w:type="pct"/>
            <w:vAlign w:val="center"/>
          </w:tcPr>
          <w:p w14:paraId="5BF8AF90">
            <w:pPr>
              <w:snapToGrid w:val="0"/>
              <w:spacing w:line="320" w:lineRule="exact"/>
              <w:jc w:val="center"/>
              <w:rPr>
                <w:rFonts w:hint="eastAsia" w:ascii="宋体" w:hAnsi="宋体" w:cs="宋体"/>
                <w:sz w:val="21"/>
                <w:szCs w:val="21"/>
              </w:rPr>
            </w:pPr>
            <w:r>
              <w:rPr>
                <w:rFonts w:hint="eastAsia" w:ascii="宋体" w:hAnsi="宋体" w:cs="宋体"/>
                <w:sz w:val="21"/>
                <w:szCs w:val="21"/>
              </w:rPr>
              <w:t>分值构成（总分100分）</w:t>
            </w:r>
          </w:p>
        </w:tc>
        <w:tc>
          <w:tcPr>
            <w:tcW w:w="3422" w:type="pct"/>
            <w:vAlign w:val="center"/>
          </w:tcPr>
          <w:p w14:paraId="6E740A97">
            <w:pPr>
              <w:rPr>
                <w:b/>
                <w:bCs/>
                <w:sz w:val="21"/>
                <w:szCs w:val="21"/>
              </w:rPr>
            </w:pPr>
            <w:r>
              <w:rPr>
                <w:rFonts w:hint="eastAsia"/>
                <w:b/>
                <w:bCs/>
                <w:sz w:val="21"/>
                <w:szCs w:val="21"/>
              </w:rPr>
              <w:t>修改为：</w:t>
            </w:r>
          </w:p>
          <w:p w14:paraId="74C7368B">
            <w:pPr>
              <w:rPr>
                <w:b/>
                <w:bCs/>
                <w:sz w:val="21"/>
                <w:szCs w:val="21"/>
              </w:rPr>
            </w:pPr>
            <w:r>
              <w:rPr>
                <w:rFonts w:hint="eastAsia"/>
                <w:b/>
                <w:bCs/>
                <w:sz w:val="21"/>
                <w:szCs w:val="21"/>
              </w:rPr>
              <w:t>第一个信封分值构成：</w:t>
            </w:r>
          </w:p>
          <w:p w14:paraId="19845DB9">
            <w:pPr>
              <w:ind w:firstLine="420" w:firstLineChars="200"/>
              <w:rPr>
                <w:sz w:val="21"/>
                <w:szCs w:val="21"/>
              </w:rPr>
            </w:pPr>
            <w:r>
              <w:rPr>
                <w:rFonts w:hint="eastAsia"/>
                <w:sz w:val="21"/>
                <w:szCs w:val="21"/>
              </w:rPr>
              <w:t>施工组织设计：40分；</w:t>
            </w:r>
          </w:p>
          <w:p w14:paraId="060C32FD">
            <w:pPr>
              <w:ind w:firstLine="420" w:firstLineChars="200"/>
              <w:rPr>
                <w:sz w:val="21"/>
                <w:szCs w:val="21"/>
              </w:rPr>
            </w:pPr>
            <w:r>
              <w:rPr>
                <w:rFonts w:hint="eastAsia"/>
                <w:sz w:val="21"/>
                <w:szCs w:val="21"/>
              </w:rPr>
              <w:t>主要人员：40分；</w:t>
            </w:r>
          </w:p>
          <w:p w14:paraId="1D0CD0E7">
            <w:pPr>
              <w:ind w:firstLine="420" w:firstLineChars="200"/>
              <w:rPr>
                <w:sz w:val="21"/>
                <w:szCs w:val="21"/>
              </w:rPr>
            </w:pPr>
            <w:r>
              <w:rPr>
                <w:rFonts w:hint="eastAsia"/>
                <w:sz w:val="21"/>
                <w:szCs w:val="21"/>
              </w:rPr>
              <w:t>企业业绩：20分；</w:t>
            </w:r>
          </w:p>
          <w:p w14:paraId="0FB70237">
            <w:pPr>
              <w:snapToGrid w:val="0"/>
              <w:jc w:val="left"/>
              <w:rPr>
                <w:b/>
                <w:bCs/>
                <w:sz w:val="21"/>
                <w:szCs w:val="21"/>
              </w:rPr>
            </w:pPr>
            <w:r>
              <w:rPr>
                <w:rFonts w:hint="eastAsia"/>
                <w:b/>
                <w:bCs/>
                <w:sz w:val="21"/>
                <w:szCs w:val="21"/>
              </w:rPr>
              <w:t>第二个信封分值构成：</w:t>
            </w:r>
          </w:p>
          <w:p w14:paraId="7ADCB8B7">
            <w:pPr>
              <w:snapToGrid w:val="0"/>
              <w:ind w:firstLine="420" w:firstLineChars="200"/>
              <w:jc w:val="left"/>
              <w:rPr>
                <w:rFonts w:hint="eastAsia" w:ascii="宋体" w:hAnsi="宋体" w:cs="宋体"/>
                <w:b/>
                <w:sz w:val="21"/>
                <w:szCs w:val="21"/>
              </w:rPr>
            </w:pPr>
            <w:r>
              <w:rPr>
                <w:rFonts w:hint="eastAsia"/>
                <w:sz w:val="21"/>
                <w:szCs w:val="21"/>
              </w:rPr>
              <w:t>报价：100分。</w:t>
            </w:r>
          </w:p>
        </w:tc>
      </w:tr>
      <w:tr w14:paraId="7BD0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2BA6C376">
            <w:pPr>
              <w:snapToGrid w:val="0"/>
              <w:spacing w:line="320" w:lineRule="exact"/>
              <w:jc w:val="center"/>
              <w:rPr>
                <w:rFonts w:hint="eastAsia" w:ascii="宋体" w:hAnsi="宋体" w:cs="宋体"/>
                <w:sz w:val="21"/>
                <w:szCs w:val="21"/>
              </w:rPr>
            </w:pPr>
            <w:r>
              <w:rPr>
                <w:rFonts w:hint="eastAsia" w:ascii="宋体" w:hAnsi="宋体" w:cs="宋体"/>
                <w:sz w:val="21"/>
                <w:szCs w:val="21"/>
              </w:rPr>
              <w:t>2.2.2</w:t>
            </w:r>
          </w:p>
        </w:tc>
        <w:tc>
          <w:tcPr>
            <w:tcW w:w="825" w:type="pct"/>
            <w:vAlign w:val="center"/>
          </w:tcPr>
          <w:p w14:paraId="37A550A6">
            <w:pPr>
              <w:snapToGrid w:val="0"/>
              <w:spacing w:line="320" w:lineRule="exact"/>
              <w:jc w:val="center"/>
              <w:rPr>
                <w:rFonts w:hint="eastAsia" w:ascii="宋体" w:hAnsi="宋体" w:cs="宋体"/>
                <w:sz w:val="21"/>
                <w:szCs w:val="21"/>
              </w:rPr>
            </w:pPr>
            <w:r>
              <w:rPr>
                <w:rStyle w:val="51"/>
                <w:rFonts w:hint="eastAsia" w:ascii="宋体" w:hAnsi="宋体" w:eastAsia="宋体"/>
                <w:color w:val="auto"/>
                <w:sz w:val="21"/>
                <w:szCs w:val="21"/>
              </w:rPr>
              <w:t>第一个信封评分评分标准</w:t>
            </w:r>
          </w:p>
        </w:tc>
        <w:tc>
          <w:tcPr>
            <w:tcW w:w="3422" w:type="pct"/>
            <w:vAlign w:val="center"/>
          </w:tcPr>
          <w:p w14:paraId="5C13B9EC">
            <w:pPr>
              <w:pStyle w:val="52"/>
              <w:snapToGrid w:val="0"/>
              <w:spacing w:line="320" w:lineRule="exact"/>
              <w:jc w:val="both"/>
              <w:rPr>
                <w:rFonts w:hint="eastAsia"/>
                <w:sz w:val="21"/>
                <w:szCs w:val="21"/>
                <w:lang w:val="en-US"/>
              </w:rPr>
            </w:pPr>
            <w:r>
              <w:rPr>
                <w:rFonts w:hint="eastAsia"/>
                <w:sz w:val="21"/>
                <w:szCs w:val="21"/>
                <w:lang w:val="en-US"/>
              </w:rPr>
              <w:t>详见附表</w:t>
            </w:r>
          </w:p>
        </w:tc>
      </w:tr>
      <w:tr w14:paraId="4FAB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restart"/>
            <w:vAlign w:val="center"/>
          </w:tcPr>
          <w:p w14:paraId="05AB7789">
            <w:pPr>
              <w:snapToGrid w:val="0"/>
              <w:spacing w:line="320" w:lineRule="exact"/>
              <w:jc w:val="center"/>
              <w:rPr>
                <w:rFonts w:hint="eastAsia" w:ascii="宋体" w:hAnsi="宋体" w:cs="宋体"/>
                <w:sz w:val="21"/>
                <w:szCs w:val="21"/>
              </w:rPr>
            </w:pPr>
            <w:r>
              <w:rPr>
                <w:rFonts w:hint="eastAsia" w:ascii="宋体" w:hAnsi="宋体" w:cs="宋体"/>
                <w:sz w:val="21"/>
                <w:szCs w:val="21"/>
              </w:rPr>
              <w:t>2.2.3</w:t>
            </w:r>
          </w:p>
        </w:tc>
        <w:tc>
          <w:tcPr>
            <w:tcW w:w="825" w:type="pct"/>
            <w:vMerge w:val="restart"/>
            <w:vAlign w:val="center"/>
          </w:tcPr>
          <w:p w14:paraId="1E157772">
            <w:pPr>
              <w:snapToGrid w:val="0"/>
              <w:spacing w:line="320" w:lineRule="exact"/>
              <w:jc w:val="center"/>
              <w:rPr>
                <w:rStyle w:val="51"/>
                <w:rFonts w:hint="eastAsia" w:ascii="宋体" w:hAnsi="宋体" w:eastAsia="宋体"/>
                <w:color w:val="auto"/>
                <w:sz w:val="21"/>
                <w:szCs w:val="21"/>
              </w:rPr>
            </w:pPr>
            <w:r>
              <w:rPr>
                <w:rFonts w:hint="eastAsia"/>
                <w:sz w:val="21"/>
                <w:szCs w:val="21"/>
              </w:rPr>
              <w:t>第二个信封详细评审标准</w:t>
            </w:r>
          </w:p>
        </w:tc>
        <w:tc>
          <w:tcPr>
            <w:tcW w:w="3422" w:type="pct"/>
            <w:vAlign w:val="center"/>
          </w:tcPr>
          <w:p w14:paraId="38941E7D">
            <w:pPr>
              <w:snapToGrid w:val="0"/>
              <w:jc w:val="left"/>
              <w:rPr>
                <w:rFonts w:hint="eastAsia" w:ascii="宋体" w:hAnsi="宋体" w:cs="宋体"/>
                <w:b/>
                <w:bCs/>
                <w:sz w:val="21"/>
                <w:szCs w:val="21"/>
              </w:rPr>
            </w:pPr>
            <w:r>
              <w:rPr>
                <w:rFonts w:hint="eastAsia" w:ascii="宋体" w:hAnsi="宋体" w:cs="宋体"/>
                <w:b/>
                <w:bCs/>
                <w:sz w:val="21"/>
                <w:szCs w:val="21"/>
              </w:rPr>
              <w:t>评标价偏差率的计算公式：</w:t>
            </w:r>
          </w:p>
          <w:p w14:paraId="25628597">
            <w:pPr>
              <w:snapToGrid w:val="0"/>
              <w:ind w:firstLine="420" w:firstLineChars="200"/>
              <w:jc w:val="left"/>
              <w:rPr>
                <w:rFonts w:cs="宋体"/>
                <w:sz w:val="21"/>
                <w:szCs w:val="21"/>
              </w:rPr>
            </w:pPr>
            <w:r>
              <w:rPr>
                <w:rFonts w:hint="eastAsia" w:ascii="宋体" w:hAnsi="宋体" w:cs="宋体"/>
                <w:sz w:val="21"/>
                <w:szCs w:val="21"/>
              </w:rPr>
              <w:t>偏差率=100%×（投标人评标价-评标基准价）／评标基准价</w:t>
            </w:r>
          </w:p>
        </w:tc>
      </w:tr>
      <w:tr w14:paraId="3CB3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vAlign w:val="center"/>
          </w:tcPr>
          <w:p w14:paraId="0BDAA70A">
            <w:pPr>
              <w:snapToGrid w:val="0"/>
              <w:spacing w:line="320" w:lineRule="exact"/>
              <w:jc w:val="center"/>
              <w:rPr>
                <w:rFonts w:hint="eastAsia" w:ascii="宋体" w:hAnsi="宋体" w:cs="宋体"/>
                <w:sz w:val="21"/>
                <w:szCs w:val="21"/>
              </w:rPr>
            </w:pPr>
          </w:p>
        </w:tc>
        <w:tc>
          <w:tcPr>
            <w:tcW w:w="825" w:type="pct"/>
            <w:vMerge w:val="continue"/>
            <w:vAlign w:val="center"/>
          </w:tcPr>
          <w:p w14:paraId="5E46DFD5">
            <w:pPr>
              <w:snapToGrid w:val="0"/>
              <w:spacing w:line="320" w:lineRule="exact"/>
              <w:jc w:val="center"/>
              <w:rPr>
                <w:rStyle w:val="51"/>
                <w:rFonts w:hint="eastAsia" w:ascii="宋体" w:hAnsi="宋体" w:eastAsia="宋体"/>
                <w:color w:val="auto"/>
                <w:sz w:val="21"/>
                <w:szCs w:val="21"/>
              </w:rPr>
            </w:pPr>
          </w:p>
        </w:tc>
        <w:tc>
          <w:tcPr>
            <w:tcW w:w="3422" w:type="pct"/>
            <w:vAlign w:val="center"/>
          </w:tcPr>
          <w:p w14:paraId="6005C6DE">
            <w:pPr>
              <w:snapToGrid w:val="0"/>
              <w:jc w:val="left"/>
              <w:rPr>
                <w:rFonts w:hint="eastAsia" w:ascii="宋体" w:hAnsi="宋体" w:cs="宋体"/>
                <w:b/>
                <w:bCs/>
                <w:kern w:val="0"/>
                <w:sz w:val="21"/>
                <w:szCs w:val="21"/>
              </w:rPr>
            </w:pPr>
            <w:r>
              <w:rPr>
                <w:rFonts w:hint="eastAsia" w:ascii="宋体" w:hAnsi="宋体" w:cs="宋体"/>
                <w:b/>
                <w:bCs/>
                <w:kern w:val="0"/>
                <w:sz w:val="21"/>
                <w:szCs w:val="21"/>
              </w:rPr>
              <w:t>评标价的评分标准（100分）：</w:t>
            </w:r>
          </w:p>
          <w:p w14:paraId="58AB2058">
            <w:pPr>
              <w:pStyle w:val="13"/>
              <w:snapToGrid w:val="0"/>
              <w:ind w:firstLine="420" w:firstLineChars="200"/>
              <w:jc w:val="left"/>
              <w:rPr>
                <w:rFonts w:hint="eastAsia" w:hAnsi="宋体" w:cs="宋体"/>
                <w:szCs w:val="21"/>
              </w:rPr>
            </w:pPr>
            <w:r>
              <w:rPr>
                <w:rFonts w:hint="eastAsia" w:hAnsi="宋体" w:cs="宋体"/>
                <w:szCs w:val="21"/>
              </w:rPr>
              <w:t>评标价得分计算公式：</w:t>
            </w:r>
          </w:p>
          <w:p w14:paraId="3804A6D0">
            <w:pPr>
              <w:snapToGrid w:val="0"/>
              <w:ind w:firstLine="420" w:firstLineChars="200"/>
              <w:jc w:val="left"/>
              <w:rPr>
                <w:rFonts w:hint="eastAsia" w:ascii="宋体" w:hAnsi="宋体" w:cs="宋体"/>
                <w:bCs/>
                <w:sz w:val="21"/>
                <w:szCs w:val="21"/>
              </w:rPr>
            </w:pPr>
            <w:r>
              <w:rPr>
                <w:rFonts w:hint="eastAsia" w:ascii="宋体" w:hAnsi="宋体" w:cs="宋体"/>
                <w:bCs/>
                <w:sz w:val="21"/>
                <w:szCs w:val="21"/>
              </w:rPr>
              <w:t>a.如果投标人的评标价＞评标基准价，则评标价得分＝100－偏差率×100×E1；</w:t>
            </w:r>
          </w:p>
          <w:p w14:paraId="2580410C">
            <w:pPr>
              <w:snapToGrid w:val="0"/>
              <w:ind w:firstLine="420" w:firstLineChars="200"/>
              <w:jc w:val="left"/>
              <w:rPr>
                <w:rFonts w:hint="eastAsia" w:ascii="宋体" w:hAnsi="宋体" w:cs="宋体"/>
                <w:bCs/>
                <w:sz w:val="21"/>
                <w:szCs w:val="21"/>
              </w:rPr>
            </w:pPr>
            <w:r>
              <w:rPr>
                <w:rFonts w:hint="eastAsia" w:ascii="宋体" w:hAnsi="宋体" w:cs="宋体"/>
                <w:bCs/>
                <w:sz w:val="21"/>
                <w:szCs w:val="21"/>
              </w:rPr>
              <w:t>b.如果投标人的评标价≤评标基准价，则评标价得分＝100＋偏差率×100×E2；</w:t>
            </w:r>
          </w:p>
          <w:p w14:paraId="444C27C6">
            <w:pPr>
              <w:pStyle w:val="13"/>
              <w:snapToGrid w:val="0"/>
              <w:ind w:firstLine="420" w:firstLineChars="200"/>
              <w:jc w:val="left"/>
              <w:rPr>
                <w:rFonts w:hint="eastAsia" w:hAnsi="宋体" w:cs="宋体"/>
                <w:szCs w:val="21"/>
              </w:rPr>
            </w:pPr>
            <w:r>
              <w:rPr>
                <w:rFonts w:hint="eastAsia" w:hAnsi="宋体" w:cs="宋体"/>
                <w:bCs/>
                <w:szCs w:val="21"/>
              </w:rPr>
              <w:t>其中，E1是评标价每高于评标基准价一个百分点的扣分值，E1＝2；E2是评标价每低于评标基准价一个百分点的扣分值，E2＝1。</w:t>
            </w:r>
          </w:p>
          <w:p w14:paraId="389EBC89">
            <w:pPr>
              <w:pStyle w:val="18"/>
              <w:spacing w:after="0"/>
              <w:ind w:left="0" w:leftChars="0"/>
              <w:rPr>
                <w:rFonts w:hint="eastAsia" w:cs="宋体"/>
                <w:szCs w:val="21"/>
              </w:rPr>
            </w:pPr>
            <w:r>
              <w:rPr>
                <w:rFonts w:hint="eastAsia" w:cs="宋体"/>
                <w:szCs w:val="21"/>
              </w:rPr>
              <w:t>注：评标价得分最低为0分；评标价得分保留小数点后两位，小数点后第三位四舍五入。</w:t>
            </w:r>
          </w:p>
        </w:tc>
      </w:tr>
      <w:tr w14:paraId="219F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752" w:type="pct"/>
            <w:vAlign w:val="center"/>
          </w:tcPr>
          <w:p w14:paraId="5018B962">
            <w:pPr>
              <w:snapToGrid w:val="0"/>
              <w:spacing w:line="320" w:lineRule="exact"/>
              <w:jc w:val="center"/>
              <w:rPr>
                <w:rFonts w:hint="eastAsia" w:ascii="宋体" w:hAnsi="宋体" w:cs="宋体"/>
                <w:sz w:val="21"/>
                <w:szCs w:val="21"/>
              </w:rPr>
            </w:pPr>
            <w:r>
              <w:rPr>
                <w:rFonts w:hint="eastAsia" w:ascii="宋体" w:hAnsi="宋体" w:cs="宋体"/>
                <w:sz w:val="21"/>
                <w:szCs w:val="21"/>
              </w:rPr>
              <w:t>2.2.4</w:t>
            </w:r>
          </w:p>
        </w:tc>
        <w:tc>
          <w:tcPr>
            <w:tcW w:w="825" w:type="pct"/>
            <w:vAlign w:val="center"/>
          </w:tcPr>
          <w:p w14:paraId="5F8CC748">
            <w:pPr>
              <w:snapToGrid w:val="0"/>
              <w:spacing w:line="320" w:lineRule="exact"/>
              <w:jc w:val="center"/>
              <w:rPr>
                <w:rFonts w:hint="eastAsia" w:ascii="宋体" w:hAnsi="宋体" w:cs="宋体"/>
                <w:sz w:val="21"/>
                <w:szCs w:val="21"/>
              </w:rPr>
            </w:pPr>
            <w:r>
              <w:rPr>
                <w:rFonts w:hint="eastAsia" w:ascii="宋体" w:hAnsi="宋体" w:cs="宋体"/>
                <w:sz w:val="21"/>
                <w:szCs w:val="21"/>
              </w:rPr>
              <w:t>评标基准价计算方法</w:t>
            </w:r>
          </w:p>
        </w:tc>
        <w:tc>
          <w:tcPr>
            <w:tcW w:w="3422" w:type="pct"/>
            <w:vAlign w:val="center"/>
          </w:tcPr>
          <w:p w14:paraId="36C5F777">
            <w:pPr>
              <w:snapToGrid w:val="0"/>
              <w:jc w:val="left"/>
              <w:rPr>
                <w:rFonts w:hint="eastAsia" w:ascii="宋体" w:hAnsi="宋体"/>
                <w:b/>
                <w:kern w:val="2"/>
                <w:sz w:val="21"/>
                <w:szCs w:val="21"/>
              </w:rPr>
            </w:pPr>
            <w:r>
              <w:rPr>
                <w:rFonts w:hint="eastAsia" w:ascii="宋体" w:hAnsi="宋体" w:cs="宋体"/>
                <w:b/>
                <w:sz w:val="21"/>
                <w:szCs w:val="21"/>
              </w:rPr>
              <w:t>评标基准价计算方法随机抽取确定。在第一信封开标现场通过抽取器具，从以下三种办法中随机抽取确定一种方法作为评标基准价的计算方法：</w:t>
            </w:r>
          </w:p>
          <w:p w14:paraId="63B34FB1">
            <w:pPr>
              <w:ind w:firstLine="420" w:firstLineChars="200"/>
              <w:rPr>
                <w:rFonts w:hint="eastAsia" w:ascii="宋体" w:hAnsi="宋体"/>
                <w:sz w:val="21"/>
                <w:szCs w:val="21"/>
              </w:rPr>
            </w:pPr>
            <w:r>
              <w:rPr>
                <w:rFonts w:hint="eastAsia"/>
                <w:sz w:val="21"/>
                <w:szCs w:val="21"/>
              </w:rPr>
              <w:t>按照投标人的商务和技术得分由高到低排序，选择前</w:t>
            </w:r>
            <w:r>
              <w:rPr>
                <w:rFonts w:hint="eastAsia"/>
                <w:sz w:val="21"/>
                <w:szCs w:val="21"/>
                <w:u w:val="single"/>
              </w:rPr>
              <w:t xml:space="preserve"> 5 </w:t>
            </w:r>
            <w:r>
              <w:rPr>
                <w:rFonts w:hint="eastAsia"/>
                <w:sz w:val="21"/>
                <w:szCs w:val="21"/>
              </w:rPr>
              <w:t>名通过</w:t>
            </w:r>
            <w:r>
              <w:rPr>
                <w:rFonts w:hint="eastAsia" w:ascii="宋体" w:hAnsi="宋体" w:cs="宋体"/>
                <w:sz w:val="21"/>
                <w:szCs w:val="21"/>
              </w:rPr>
              <w:t>投标文件第一个信封（商务及技术文件）</w:t>
            </w:r>
            <w:r>
              <w:rPr>
                <w:rFonts w:hint="eastAsia"/>
                <w:sz w:val="21"/>
                <w:szCs w:val="21"/>
              </w:rPr>
              <w:t>详细评审</w:t>
            </w:r>
            <w:r>
              <w:rPr>
                <w:rFonts w:hint="eastAsia" w:ascii="宋体" w:hAnsi="宋体"/>
                <w:sz w:val="21"/>
                <w:szCs w:val="21"/>
              </w:rPr>
              <w:t>，开启第二个信封，并当场计算并宣布评标基准价。</w:t>
            </w:r>
          </w:p>
          <w:p w14:paraId="710533BB">
            <w:pPr>
              <w:ind w:firstLine="420" w:firstLineChars="200"/>
              <w:rPr>
                <w:rFonts w:hint="eastAsia" w:ascii="宋体" w:hAnsi="宋体"/>
                <w:sz w:val="21"/>
                <w:szCs w:val="21"/>
              </w:rPr>
            </w:pPr>
            <w:r>
              <w:rPr>
                <w:rFonts w:hint="eastAsia" w:ascii="宋体" w:hAnsi="宋体"/>
                <w:sz w:val="21"/>
                <w:szCs w:val="21"/>
              </w:rPr>
              <w:t>（1）评标价的确定： 评标价=投标函文字报价</w:t>
            </w:r>
          </w:p>
          <w:p w14:paraId="6F9E857E">
            <w:pPr>
              <w:ind w:firstLine="420" w:firstLineChars="200"/>
              <w:rPr>
                <w:rFonts w:hint="eastAsia" w:ascii="宋体" w:hAnsi="宋体"/>
                <w:sz w:val="21"/>
                <w:szCs w:val="21"/>
              </w:rPr>
            </w:pPr>
            <w:r>
              <w:rPr>
                <w:rFonts w:hint="eastAsia" w:ascii="宋体" w:hAnsi="宋体"/>
                <w:sz w:val="21"/>
                <w:szCs w:val="21"/>
              </w:rPr>
              <w:t>（2）评标价平均值的计算：除按第二章“投标人须知”第 5.2.4 项规定开标现场被宣布为不进入评标基准价计算的投标报价之外，进入第二个信封评审的所有投标人评标价的算术平均值即为评标价平均值。</w:t>
            </w:r>
          </w:p>
          <w:p w14:paraId="2F7416A7">
            <w:pPr>
              <w:ind w:firstLine="420" w:firstLineChars="200"/>
              <w:rPr>
                <w:rFonts w:hint="eastAsia" w:ascii="宋体" w:hAnsi="宋体"/>
                <w:sz w:val="21"/>
                <w:szCs w:val="21"/>
              </w:rPr>
            </w:pPr>
            <w:r>
              <w:rPr>
                <w:rFonts w:hint="eastAsia" w:ascii="宋体" w:hAnsi="宋体"/>
                <w:sz w:val="21"/>
                <w:szCs w:val="21"/>
              </w:rPr>
              <w:t>（3）评标基准价的确定：</w:t>
            </w:r>
          </w:p>
          <w:p w14:paraId="1395E375">
            <w:pPr>
              <w:ind w:firstLine="420" w:firstLineChars="200"/>
              <w:rPr>
                <w:rFonts w:hint="eastAsia" w:ascii="宋体" w:hAnsi="宋体"/>
                <w:sz w:val="21"/>
                <w:szCs w:val="21"/>
              </w:rPr>
            </w:pPr>
            <w:r>
              <w:rPr>
                <w:rFonts w:hint="eastAsia" w:ascii="宋体" w:hAnsi="宋体"/>
                <w:sz w:val="21"/>
                <w:szCs w:val="21"/>
              </w:rPr>
              <w:t xml:space="preserve">采取随机抽取的方式从下列方法中确定评标基准价的计算方法： </w:t>
            </w:r>
          </w:p>
          <w:p w14:paraId="7843AA5C">
            <w:pPr>
              <w:rPr>
                <w:rFonts w:hint="eastAsia" w:ascii="宋体" w:hAnsi="宋体"/>
                <w:b/>
                <w:bCs/>
                <w:sz w:val="21"/>
                <w:szCs w:val="21"/>
              </w:rPr>
            </w:pPr>
            <w:r>
              <w:rPr>
                <w:rFonts w:hint="eastAsia" w:ascii="宋体" w:hAnsi="宋体"/>
                <w:b/>
                <w:bCs/>
                <w:sz w:val="21"/>
                <w:szCs w:val="21"/>
              </w:rPr>
              <w:t>方法一：</w:t>
            </w:r>
          </w:p>
          <w:p w14:paraId="56EB87BA">
            <w:pPr>
              <w:ind w:firstLine="420" w:firstLineChars="200"/>
              <w:rPr>
                <w:rFonts w:hint="eastAsia" w:ascii="宋体" w:hAnsi="宋体"/>
                <w:sz w:val="21"/>
                <w:szCs w:val="21"/>
              </w:rPr>
            </w:pPr>
            <w:r>
              <w:rPr>
                <w:rFonts w:hint="eastAsia" w:ascii="宋体" w:hAnsi="宋体"/>
                <w:sz w:val="21"/>
                <w:szCs w:val="21"/>
              </w:rPr>
              <w:t>评标价平均值乘以评标基准价系数 K1，作为评标基准价 P。招标人设置评标基准价系数 K1（取0.975、 0.98、0.985、0.99、0.995 共 5 个数值）。在开标现场随机抽取确定。</w:t>
            </w:r>
          </w:p>
          <w:p w14:paraId="24C2D199">
            <w:pPr>
              <w:rPr>
                <w:rFonts w:hint="eastAsia" w:ascii="宋体" w:hAnsi="宋体"/>
                <w:b/>
                <w:bCs/>
                <w:sz w:val="21"/>
                <w:szCs w:val="21"/>
              </w:rPr>
            </w:pPr>
            <w:r>
              <w:rPr>
                <w:rFonts w:hint="eastAsia" w:ascii="宋体" w:hAnsi="宋体"/>
                <w:b/>
                <w:bCs/>
                <w:sz w:val="21"/>
                <w:szCs w:val="21"/>
              </w:rPr>
              <w:t>方法二：</w:t>
            </w:r>
          </w:p>
          <w:p w14:paraId="60EFAB0E">
            <w:pPr>
              <w:ind w:firstLine="420" w:firstLineChars="200"/>
              <w:rPr>
                <w:rFonts w:hint="eastAsia" w:ascii="宋体" w:hAnsi="宋体"/>
                <w:sz w:val="21"/>
                <w:szCs w:val="21"/>
              </w:rPr>
            </w:pPr>
            <w:r>
              <w:rPr>
                <w:rFonts w:hint="eastAsia" w:ascii="宋体" w:hAnsi="宋体" w:cs="宋体"/>
                <w:sz w:val="21"/>
                <w:szCs w:val="21"/>
              </w:rPr>
              <w:t>评标价平均值直接作为评标基准价P。</w:t>
            </w:r>
          </w:p>
          <w:p w14:paraId="65821512">
            <w:pPr>
              <w:rPr>
                <w:rFonts w:hint="eastAsia" w:ascii="宋体" w:hAnsi="宋体"/>
                <w:b/>
                <w:bCs/>
                <w:sz w:val="21"/>
                <w:szCs w:val="21"/>
              </w:rPr>
            </w:pPr>
            <w:r>
              <w:rPr>
                <w:rFonts w:hint="eastAsia" w:ascii="宋体" w:hAnsi="宋体"/>
                <w:b/>
                <w:bCs/>
                <w:sz w:val="21"/>
                <w:szCs w:val="21"/>
              </w:rPr>
              <w:t>方法三：</w:t>
            </w:r>
          </w:p>
          <w:p w14:paraId="4A6F3D56">
            <w:pPr>
              <w:ind w:firstLine="420" w:firstLineChars="200"/>
              <w:rPr>
                <w:rFonts w:hint="eastAsia" w:ascii="宋体" w:hAnsi="宋体"/>
                <w:sz w:val="21"/>
                <w:szCs w:val="21"/>
              </w:rPr>
            </w:pPr>
            <w:r>
              <w:rPr>
                <w:rFonts w:hint="eastAsia" w:ascii="宋体" w:hAnsi="宋体"/>
                <w:sz w:val="21"/>
                <w:szCs w:val="21"/>
              </w:rPr>
              <w:t>①中位数：除按第二章“投标人须知”第 5.2.4 项规定开标现场被宣布为不进入评标基准价计算的投标报价之外，进入第二个信封评审的所有投标人评标价按高低排序后找出正中间的一个作为中位数，如果评标价有偶数个，取最中间的两个数值的平均值作为中位数（平均值均保留 2 位小数）。</w:t>
            </w:r>
          </w:p>
          <w:p w14:paraId="2890F85E">
            <w:pPr>
              <w:ind w:firstLine="420" w:firstLineChars="200"/>
              <w:rPr>
                <w:rFonts w:hint="eastAsia" w:ascii="宋体" w:hAnsi="宋体"/>
                <w:sz w:val="21"/>
                <w:szCs w:val="21"/>
              </w:rPr>
            </w:pPr>
            <w:r>
              <w:rPr>
                <w:rFonts w:hint="eastAsia" w:ascii="宋体" w:hAnsi="宋体"/>
                <w:sz w:val="21"/>
                <w:szCs w:val="21"/>
              </w:rPr>
              <w:t>②评标基准价的确定</w:t>
            </w:r>
          </w:p>
          <w:p w14:paraId="5C94E5BE">
            <w:pPr>
              <w:ind w:firstLine="420" w:firstLineChars="200"/>
              <w:rPr>
                <w:rFonts w:hint="eastAsia" w:ascii="宋体" w:hAnsi="宋体"/>
                <w:sz w:val="21"/>
                <w:szCs w:val="21"/>
              </w:rPr>
            </w:pPr>
            <w:r>
              <w:rPr>
                <w:rFonts w:hint="eastAsia" w:ascii="宋体" w:hAnsi="宋体"/>
                <w:sz w:val="21"/>
                <w:szCs w:val="21"/>
              </w:rPr>
              <w:t>投标人评标价的中位数直接作为评标基准价P。</w:t>
            </w:r>
          </w:p>
          <w:p w14:paraId="573EA1AF">
            <w:pPr>
              <w:ind w:firstLine="420" w:firstLineChars="200"/>
              <w:rPr>
                <w:rFonts w:hint="eastAsia" w:ascii="宋体" w:hAnsi="宋体"/>
                <w:sz w:val="21"/>
                <w:szCs w:val="21"/>
              </w:rPr>
            </w:pPr>
            <w:r>
              <w:rPr>
                <w:rFonts w:hint="eastAsia" w:ascii="宋体" w:hAnsi="宋体"/>
                <w:sz w:val="21"/>
                <w:szCs w:val="21"/>
              </w:rPr>
              <w:t>在评标过程中，评标委员会应对招标人计算的评标基准价进行复核，存在计算错误的应予以修正并在评标报告中作出说明。除此之外，评标基准价在整个评标期间保持不变，不随任何因素发生变化。</w:t>
            </w:r>
          </w:p>
          <w:p w14:paraId="18CD937D">
            <w:pPr>
              <w:pStyle w:val="52"/>
              <w:snapToGrid w:val="0"/>
              <w:ind w:firstLine="420" w:firstLineChars="200"/>
              <w:jc w:val="both"/>
              <w:rPr>
                <w:rFonts w:hint="eastAsia"/>
                <w:sz w:val="21"/>
                <w:szCs w:val="21"/>
              </w:rPr>
            </w:pPr>
            <w:r>
              <w:rPr>
                <w:rFonts w:hint="eastAsia"/>
                <w:sz w:val="21"/>
                <w:szCs w:val="21"/>
              </w:rPr>
              <w:t>评标基准价保留小数点后两位，小数点后第三位四舍五入。</w:t>
            </w:r>
          </w:p>
        </w:tc>
      </w:tr>
      <w:tr w14:paraId="7425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752" w:type="pct"/>
            <w:vAlign w:val="center"/>
          </w:tcPr>
          <w:p w14:paraId="0D36279F">
            <w:pPr>
              <w:spacing w:line="370" w:lineRule="exact"/>
              <w:jc w:val="center"/>
              <w:rPr>
                <w:rFonts w:hint="eastAsia" w:ascii="宋体" w:hAnsi="宋体" w:cs="宋体"/>
                <w:sz w:val="21"/>
                <w:szCs w:val="21"/>
              </w:rPr>
            </w:pPr>
            <w:r>
              <w:rPr>
                <w:rFonts w:hint="eastAsia"/>
                <w:sz w:val="21"/>
                <w:szCs w:val="21"/>
              </w:rPr>
              <w:t>3.2.4</w:t>
            </w:r>
          </w:p>
        </w:tc>
        <w:tc>
          <w:tcPr>
            <w:tcW w:w="825" w:type="pct"/>
            <w:vAlign w:val="center"/>
          </w:tcPr>
          <w:p w14:paraId="719AB5FB">
            <w:pPr>
              <w:spacing w:line="370" w:lineRule="exact"/>
              <w:jc w:val="center"/>
              <w:rPr>
                <w:rFonts w:hint="eastAsia" w:ascii="宋体" w:hAnsi="宋体" w:cs="宋体"/>
                <w:sz w:val="21"/>
                <w:szCs w:val="21"/>
              </w:rPr>
            </w:pPr>
            <w:r>
              <w:rPr>
                <w:rFonts w:hint="eastAsia"/>
                <w:sz w:val="21"/>
                <w:szCs w:val="21"/>
              </w:rPr>
              <w:t>通过第一个信封详细评审的投标人数量</w:t>
            </w:r>
          </w:p>
        </w:tc>
        <w:tc>
          <w:tcPr>
            <w:tcW w:w="3422" w:type="pct"/>
            <w:vAlign w:val="center"/>
          </w:tcPr>
          <w:p w14:paraId="5744595D">
            <w:pPr>
              <w:ind w:firstLine="420" w:firstLineChars="200"/>
              <w:rPr>
                <w:rFonts w:hint="eastAsia" w:ascii="宋体" w:hAnsi="宋体" w:cs="宋体"/>
                <w:sz w:val="21"/>
                <w:szCs w:val="21"/>
              </w:rPr>
            </w:pPr>
            <w:r>
              <w:rPr>
                <w:rFonts w:hint="eastAsia"/>
                <w:sz w:val="21"/>
                <w:szCs w:val="21"/>
              </w:rPr>
              <w:t>按照投标人的商务和技术得分由高到低排序，选择前</w:t>
            </w:r>
            <w:r>
              <w:rPr>
                <w:rFonts w:hint="eastAsia"/>
                <w:sz w:val="21"/>
                <w:szCs w:val="21"/>
                <w:u w:val="single"/>
              </w:rPr>
              <w:t xml:space="preserve"> 5 </w:t>
            </w:r>
            <w:r>
              <w:rPr>
                <w:rFonts w:hint="eastAsia"/>
                <w:sz w:val="21"/>
                <w:szCs w:val="21"/>
              </w:rPr>
              <w:t>名进入</w:t>
            </w:r>
            <w:r>
              <w:rPr>
                <w:rFonts w:hint="eastAsia" w:ascii="宋体" w:hAnsi="宋体" w:cs="宋体"/>
                <w:sz w:val="21"/>
                <w:szCs w:val="21"/>
              </w:rPr>
              <w:t>第二个信封</w:t>
            </w:r>
            <w:r>
              <w:rPr>
                <w:rFonts w:hint="eastAsia"/>
                <w:sz w:val="21"/>
                <w:szCs w:val="21"/>
              </w:rPr>
              <w:t>评审。</w:t>
            </w:r>
            <w:r>
              <w:rPr>
                <w:rFonts w:ascii="宋体" w:hAnsi="宋体" w:cs="宋体"/>
                <w:sz w:val="21"/>
                <w:szCs w:val="21"/>
              </w:rPr>
              <w:t>第一信封得分相等时，</w:t>
            </w:r>
            <w:r>
              <w:rPr>
                <w:rFonts w:hint="eastAsia" w:ascii="宋体" w:hAnsi="宋体" w:cs="宋体"/>
                <w:sz w:val="21"/>
                <w:szCs w:val="21"/>
              </w:rPr>
              <w:t>施工组织设计得分高的优先；施工组织设计得分也相等的，以</w:t>
            </w:r>
            <w:r>
              <w:rPr>
                <w:rFonts w:ascii="宋体" w:hAnsi="宋体" w:cs="宋体"/>
                <w:sz w:val="21"/>
                <w:szCs w:val="21"/>
              </w:rPr>
              <w:t>满足资格审查条件（业绩最低要求）的业绩</w:t>
            </w:r>
            <w:r>
              <w:rPr>
                <w:rFonts w:hint="eastAsia" w:ascii="宋体" w:hAnsi="宋体" w:cs="宋体"/>
                <w:sz w:val="21"/>
                <w:szCs w:val="21"/>
              </w:rPr>
              <w:t>单项合同额最高</w:t>
            </w:r>
            <w:r>
              <w:rPr>
                <w:rFonts w:ascii="宋体" w:hAnsi="宋体" w:cs="宋体"/>
                <w:sz w:val="21"/>
                <w:szCs w:val="21"/>
              </w:rPr>
              <w:t>的优先，</w:t>
            </w:r>
            <w:r>
              <w:rPr>
                <w:rFonts w:hint="eastAsia" w:ascii="宋体" w:hAnsi="宋体" w:cs="宋体"/>
                <w:sz w:val="21"/>
                <w:szCs w:val="21"/>
              </w:rPr>
              <w:t>单项合同额</w:t>
            </w:r>
            <w:r>
              <w:rPr>
                <w:rFonts w:ascii="宋体" w:hAnsi="宋体" w:cs="宋体"/>
                <w:sz w:val="21"/>
                <w:szCs w:val="21"/>
              </w:rPr>
              <w:t>也相等时，以累计合同金额</w:t>
            </w:r>
            <w:r>
              <w:rPr>
                <w:rFonts w:hint="eastAsia" w:ascii="宋体" w:hAnsi="宋体" w:cs="宋体"/>
                <w:sz w:val="21"/>
                <w:szCs w:val="21"/>
              </w:rPr>
              <w:t>高</w:t>
            </w:r>
            <w:r>
              <w:rPr>
                <w:rFonts w:ascii="宋体" w:hAnsi="宋体" w:cs="宋体"/>
                <w:sz w:val="21"/>
                <w:szCs w:val="21"/>
              </w:rPr>
              <w:t>的优先</w:t>
            </w:r>
            <w:r>
              <w:rPr>
                <w:rFonts w:hint="eastAsia" w:ascii="宋体" w:hAnsi="宋体" w:cs="宋体"/>
                <w:sz w:val="21"/>
                <w:szCs w:val="21"/>
              </w:rPr>
              <w:t>。</w:t>
            </w:r>
          </w:p>
        </w:tc>
      </w:tr>
      <w:tr w14:paraId="110B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2" w:type="pct"/>
            <w:vAlign w:val="center"/>
          </w:tcPr>
          <w:p w14:paraId="52A108EE">
            <w:pPr>
              <w:spacing w:before="156" w:beforeLines="50" w:after="156" w:afterLines="50" w:line="312" w:lineRule="auto"/>
              <w:ind w:right="113"/>
              <w:jc w:val="center"/>
              <w:rPr>
                <w:rFonts w:hint="eastAsia" w:ascii="宋体" w:hAnsi="宋体" w:cs="宋体"/>
                <w:sz w:val="21"/>
                <w:szCs w:val="21"/>
              </w:rPr>
            </w:pPr>
            <w:r>
              <w:rPr>
                <w:rFonts w:hint="eastAsia" w:ascii="宋体" w:hAnsi="宋体" w:cs="宋体"/>
                <w:sz w:val="21"/>
                <w:szCs w:val="21"/>
              </w:rPr>
              <w:t>3.5.3</w:t>
            </w:r>
          </w:p>
        </w:tc>
        <w:tc>
          <w:tcPr>
            <w:tcW w:w="4247" w:type="pct"/>
            <w:gridSpan w:val="2"/>
            <w:vAlign w:val="center"/>
          </w:tcPr>
          <w:p w14:paraId="06E06E1A">
            <w:pPr>
              <w:spacing w:line="400" w:lineRule="exact"/>
              <w:rPr>
                <w:rFonts w:hint="eastAsia" w:ascii="宋体" w:hAnsi="宋体" w:cs="宋体"/>
                <w:kern w:val="2"/>
                <w:sz w:val="21"/>
                <w:szCs w:val="21"/>
              </w:rPr>
            </w:pPr>
            <w:r>
              <w:rPr>
                <w:rFonts w:hint="eastAsia" w:ascii="宋体" w:hAnsi="宋体" w:cs="宋体"/>
                <w:kern w:val="2"/>
                <w:sz w:val="21"/>
                <w:szCs w:val="21"/>
              </w:rPr>
              <w:t>本项修改为：</w:t>
            </w:r>
          </w:p>
          <w:p w14:paraId="6AEC948A">
            <w:pPr>
              <w:autoSpaceDE w:val="0"/>
              <w:autoSpaceDN w:val="0"/>
              <w:snapToGrid w:val="0"/>
              <w:spacing w:line="312" w:lineRule="auto"/>
              <w:ind w:firstLine="420" w:firstLineChars="200"/>
              <w:rPr>
                <w:rFonts w:hint="eastAsia" w:ascii="宋体" w:hAnsi="宋体" w:cs="宋体"/>
                <w:sz w:val="21"/>
                <w:szCs w:val="21"/>
              </w:rPr>
            </w:pPr>
            <w:r>
              <w:rPr>
                <w:rFonts w:hint="eastAsia" w:ascii="宋体" w:hAnsi="宋体" w:cs="宋体"/>
                <w:kern w:val="0"/>
                <w:sz w:val="21"/>
                <w:szCs w:val="21"/>
              </w:rPr>
              <w:t>评标委员会发现投标人的投标报价低于最高投标限价的65%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CAD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52" w:type="pct"/>
            <w:vAlign w:val="center"/>
          </w:tcPr>
          <w:p w14:paraId="7BCA060B">
            <w:pPr>
              <w:snapToGrid w:val="0"/>
              <w:spacing w:line="320" w:lineRule="exact"/>
              <w:jc w:val="center"/>
              <w:rPr>
                <w:rFonts w:hint="eastAsia" w:ascii="宋体" w:hAnsi="宋体" w:cs="宋体"/>
                <w:sz w:val="21"/>
                <w:szCs w:val="21"/>
              </w:rPr>
            </w:pPr>
            <w:r>
              <w:rPr>
                <w:rFonts w:hint="eastAsia" w:ascii="宋体" w:hAnsi="宋体" w:cs="宋体"/>
                <w:sz w:val="21"/>
                <w:szCs w:val="21"/>
              </w:rPr>
              <w:t>3.6.1</w:t>
            </w:r>
          </w:p>
        </w:tc>
        <w:tc>
          <w:tcPr>
            <w:tcW w:w="825" w:type="pct"/>
            <w:vAlign w:val="center"/>
          </w:tcPr>
          <w:p w14:paraId="1056C54A">
            <w:pPr>
              <w:adjustRightInd w:val="0"/>
              <w:snapToGrid w:val="0"/>
              <w:spacing w:line="320" w:lineRule="exact"/>
              <w:jc w:val="center"/>
              <w:rPr>
                <w:rFonts w:hint="eastAsia" w:ascii="宋体" w:hAnsi="宋体" w:cs="宋体"/>
                <w:sz w:val="21"/>
                <w:szCs w:val="21"/>
              </w:rPr>
            </w:pPr>
            <w:r>
              <w:rPr>
                <w:rFonts w:hint="eastAsia" w:ascii="宋体" w:hAnsi="宋体" w:cs="宋体"/>
                <w:b/>
                <w:sz w:val="21"/>
                <w:szCs w:val="21"/>
              </w:rPr>
              <w:t>投标文件相关信息的核查</w:t>
            </w:r>
          </w:p>
        </w:tc>
        <w:tc>
          <w:tcPr>
            <w:tcW w:w="3422" w:type="pct"/>
            <w:vAlign w:val="center"/>
          </w:tcPr>
          <w:p w14:paraId="6BDB73EF">
            <w:pPr>
              <w:autoSpaceDE w:val="0"/>
              <w:autoSpaceDN w:val="0"/>
              <w:snapToGrid w:val="0"/>
              <w:spacing w:line="320" w:lineRule="exact"/>
              <w:rPr>
                <w:rFonts w:hint="eastAsia" w:ascii="宋体" w:hAnsi="宋体" w:cs="宋体"/>
                <w:sz w:val="21"/>
                <w:szCs w:val="21"/>
              </w:rPr>
            </w:pPr>
            <w:r>
              <w:rPr>
                <w:rFonts w:hint="eastAsia" w:ascii="宋体" w:hAnsi="宋体" w:cs="宋体"/>
                <w:sz w:val="21"/>
                <w:szCs w:val="21"/>
              </w:rPr>
              <w:t>本项修改为：</w:t>
            </w:r>
          </w:p>
          <w:p w14:paraId="5CFB7FAC">
            <w:pPr>
              <w:autoSpaceDE w:val="0"/>
              <w:autoSpaceDN w:val="0"/>
              <w:snapToGrid w:val="0"/>
              <w:spacing w:line="320" w:lineRule="exact"/>
              <w:ind w:firstLine="420" w:firstLineChars="200"/>
              <w:rPr>
                <w:rFonts w:hint="eastAsia" w:ascii="宋体" w:hAnsi="宋体" w:cs="宋体"/>
                <w:sz w:val="21"/>
                <w:szCs w:val="21"/>
              </w:rPr>
            </w:pPr>
            <w:r>
              <w:rPr>
                <w:rFonts w:hint="eastAsia" w:ascii="宋体" w:hAnsi="宋体" w:cs="宋体"/>
                <w:sz w:val="21"/>
                <w:szCs w:val="21"/>
              </w:rPr>
              <w:t>1.评标委员会在评标过程中将对投标人的信誉情况进行查询。如投标人存在下列情形之一的，评标委员会应否决其投标。</w:t>
            </w:r>
          </w:p>
          <w:p w14:paraId="375DE065">
            <w:pPr>
              <w:autoSpaceDE w:val="0"/>
              <w:autoSpaceDN w:val="0"/>
              <w:snapToGrid w:val="0"/>
              <w:spacing w:line="320" w:lineRule="exact"/>
              <w:ind w:firstLine="420" w:firstLineChars="200"/>
              <w:rPr>
                <w:rFonts w:hint="eastAsia" w:ascii="宋体" w:hAnsi="宋体" w:cs="宋体"/>
                <w:sz w:val="21"/>
                <w:szCs w:val="21"/>
              </w:rPr>
            </w:pPr>
            <w:r>
              <w:rPr>
                <w:rFonts w:hint="eastAsia" w:ascii="宋体" w:hAnsi="宋体" w:cs="宋体"/>
                <w:sz w:val="21"/>
                <w:szCs w:val="21"/>
              </w:rPr>
              <w:t>（1）在国家企业信用信息公示系统（</w:t>
            </w:r>
            <w:r>
              <w:fldChar w:fldCharType="begin"/>
            </w:r>
            <w:r>
              <w:instrText xml:space="preserve"> HYPERLINK "https://www.gsxt.gov.cn/" </w:instrText>
            </w:r>
            <w:r>
              <w:fldChar w:fldCharType="separate"/>
            </w:r>
            <w:r>
              <w:rPr>
                <w:rStyle w:val="22"/>
                <w:rFonts w:ascii="宋体" w:hAnsi="宋体" w:cs="宋体"/>
                <w:color w:val="auto"/>
                <w:sz w:val="21"/>
                <w:szCs w:val="21"/>
              </w:rPr>
              <w:t>https://www.gsxt.gov.cn/</w:t>
            </w:r>
            <w:r>
              <w:rPr>
                <w:rStyle w:val="22"/>
                <w:rFonts w:ascii="宋体" w:hAnsi="宋体" w:cs="宋体"/>
                <w:color w:val="auto"/>
                <w:sz w:val="21"/>
                <w:szCs w:val="21"/>
              </w:rPr>
              <w:fldChar w:fldCharType="end"/>
            </w:r>
            <w:r>
              <w:rPr>
                <w:rFonts w:hint="eastAsia" w:ascii="宋体" w:hAnsi="宋体" w:cs="宋体"/>
                <w:sz w:val="21"/>
                <w:szCs w:val="21"/>
              </w:rPr>
              <w:t>）中被列入严重违法失信名单（黑名单）（不含分公司）；</w:t>
            </w:r>
          </w:p>
          <w:p w14:paraId="277666A6">
            <w:pPr>
              <w:autoSpaceDE w:val="0"/>
              <w:autoSpaceDN w:val="0"/>
              <w:snapToGrid w:val="0"/>
              <w:spacing w:line="320" w:lineRule="exact"/>
              <w:ind w:firstLine="420" w:firstLineChars="200"/>
              <w:rPr>
                <w:rFonts w:hint="eastAsia" w:ascii="宋体" w:hAnsi="宋体" w:cs="宋体"/>
                <w:sz w:val="21"/>
                <w:szCs w:val="21"/>
              </w:rPr>
            </w:pPr>
            <w:r>
              <w:rPr>
                <w:rFonts w:hint="eastAsia" w:ascii="宋体" w:hAnsi="宋体" w:cs="宋体"/>
                <w:sz w:val="21"/>
                <w:szCs w:val="21"/>
              </w:rPr>
              <w:t>（2）在“信用中国"网站（</w:t>
            </w:r>
            <w:r>
              <w:fldChar w:fldCharType="begin"/>
            </w:r>
            <w:r>
              <w:instrText xml:space="preserve"> HYPERLINK "http://www.creditchina.gov.cn/" </w:instrText>
            </w:r>
            <w:r>
              <w:fldChar w:fldCharType="separate"/>
            </w:r>
            <w:r>
              <w:rPr>
                <w:rStyle w:val="22"/>
                <w:rFonts w:ascii="宋体" w:hAnsi="宋体" w:cs="宋体"/>
                <w:color w:val="auto"/>
                <w:sz w:val="21"/>
                <w:szCs w:val="21"/>
              </w:rPr>
              <w:t>http://www.creditchina.gov.cn/</w:t>
            </w:r>
            <w:r>
              <w:rPr>
                <w:rStyle w:val="22"/>
                <w:rFonts w:ascii="宋体" w:hAnsi="宋体" w:cs="宋体"/>
                <w:color w:val="auto"/>
                <w:sz w:val="21"/>
                <w:szCs w:val="21"/>
              </w:rPr>
              <w:fldChar w:fldCharType="end"/>
            </w:r>
            <w:r>
              <w:rPr>
                <w:rFonts w:hint="eastAsia" w:ascii="宋体" w:hAnsi="宋体" w:cs="宋体"/>
                <w:sz w:val="21"/>
                <w:szCs w:val="21"/>
              </w:rPr>
              <w:t>）中被列入经营（活动）异常名录、重大税收违法失信主体名单、</w:t>
            </w:r>
            <w:r>
              <w:rPr>
                <w:rFonts w:hint="eastAsia" w:ascii="宋体" w:hAnsi="宋体" w:cs="宋体"/>
                <w:sz w:val="21"/>
                <w:szCs w:val="21"/>
                <w:lang w:bidi="ar"/>
              </w:rPr>
              <w:t>安全生产严重失信主体名单和政府采购严重违法失信行为记录名单（均不含分公司）</w:t>
            </w:r>
            <w:r>
              <w:rPr>
                <w:rFonts w:hint="eastAsia" w:ascii="宋体" w:hAnsi="宋体" w:cs="宋体"/>
                <w:sz w:val="21"/>
                <w:szCs w:val="21"/>
              </w:rPr>
              <w:t>；</w:t>
            </w:r>
          </w:p>
          <w:p w14:paraId="044CADA0">
            <w:pPr>
              <w:autoSpaceDE w:val="0"/>
              <w:autoSpaceDN w:val="0"/>
              <w:snapToGrid w:val="0"/>
              <w:spacing w:line="320" w:lineRule="exact"/>
              <w:ind w:firstLine="420" w:firstLineChars="200"/>
              <w:rPr>
                <w:rFonts w:hint="eastAsia" w:ascii="宋体" w:hAnsi="宋体" w:cs="宋体"/>
                <w:sz w:val="21"/>
                <w:szCs w:val="21"/>
              </w:rPr>
            </w:pPr>
            <w:r>
              <w:rPr>
                <w:rFonts w:hint="eastAsia" w:ascii="宋体" w:hAnsi="宋体" w:cs="宋体"/>
                <w:sz w:val="21"/>
                <w:szCs w:val="21"/>
              </w:rPr>
              <w:t>（3）在中国执行信息公开网（zxgk.court.gov.cn）中被列入失信被执行人（不含分公司）。</w:t>
            </w:r>
          </w:p>
        </w:tc>
      </w:tr>
      <w:tr w14:paraId="3318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52" w:type="pct"/>
            <w:vAlign w:val="center"/>
          </w:tcPr>
          <w:p w14:paraId="751D95A0">
            <w:pPr>
              <w:snapToGrid w:val="0"/>
              <w:spacing w:line="320" w:lineRule="exact"/>
              <w:jc w:val="center"/>
              <w:rPr>
                <w:rFonts w:hint="eastAsia" w:ascii="宋体" w:hAnsi="宋体" w:cs="宋体"/>
                <w:sz w:val="21"/>
                <w:szCs w:val="21"/>
              </w:rPr>
            </w:pPr>
            <w:r>
              <w:rPr>
                <w:rFonts w:hint="eastAsia" w:ascii="宋体" w:hAnsi="宋体" w:cs="宋体"/>
                <w:sz w:val="21"/>
                <w:szCs w:val="21"/>
              </w:rPr>
              <w:t>3.6.3</w:t>
            </w:r>
          </w:p>
        </w:tc>
        <w:tc>
          <w:tcPr>
            <w:tcW w:w="825" w:type="pct"/>
            <w:vAlign w:val="center"/>
          </w:tcPr>
          <w:p w14:paraId="0B02248C">
            <w:pPr>
              <w:adjustRightInd w:val="0"/>
              <w:snapToGrid w:val="0"/>
              <w:spacing w:line="320" w:lineRule="exact"/>
              <w:jc w:val="center"/>
              <w:rPr>
                <w:rFonts w:hint="eastAsia" w:ascii="宋体" w:hAnsi="宋体" w:cs="宋体"/>
                <w:b/>
                <w:sz w:val="21"/>
                <w:szCs w:val="21"/>
              </w:rPr>
            </w:pPr>
            <w:r>
              <w:rPr>
                <w:rFonts w:hint="eastAsia" w:ascii="宋体" w:hAnsi="宋体" w:cs="宋体"/>
                <w:sz w:val="21"/>
                <w:szCs w:val="21"/>
              </w:rPr>
              <w:t>投标人异常投标情形的核查</w:t>
            </w:r>
          </w:p>
        </w:tc>
        <w:tc>
          <w:tcPr>
            <w:tcW w:w="3422" w:type="pct"/>
            <w:vAlign w:val="center"/>
          </w:tcPr>
          <w:p w14:paraId="6C40C76E">
            <w:pPr>
              <w:rPr>
                <w:rFonts w:hint="eastAsia" w:ascii="宋体" w:hAnsi="宋体"/>
                <w:kern w:val="2"/>
                <w:sz w:val="21"/>
                <w:szCs w:val="21"/>
              </w:rPr>
            </w:pPr>
            <w:r>
              <w:rPr>
                <w:rFonts w:hint="eastAsia" w:ascii="宋体" w:hAnsi="宋体"/>
                <w:kern w:val="2"/>
                <w:sz w:val="21"/>
                <w:szCs w:val="21"/>
              </w:rPr>
              <w:t>补充本项：</w:t>
            </w:r>
          </w:p>
          <w:p w14:paraId="0C2FA620">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w:t>
            </w:r>
            <w:r>
              <w:rPr>
                <w:rFonts w:hint="eastAsia" w:ascii="宋体" w:hAnsi="宋体" w:cs="宋体"/>
                <w:sz w:val="21"/>
                <w:szCs w:val="21"/>
              </w:rPr>
              <w:t>串通</w:t>
            </w:r>
            <w:r>
              <w:rPr>
                <w:rFonts w:ascii="宋体" w:hAnsi="宋体" w:cs="宋体"/>
                <w:sz w:val="21"/>
                <w:szCs w:val="21"/>
              </w:rPr>
              <w:t>投标情形，并否决其投标。</w:t>
            </w:r>
          </w:p>
          <w:p w14:paraId="1B04C11D">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有下列情形之一的，属于投标文件异常一致或投标活动异常关联等异常投标情形：</w:t>
            </w:r>
          </w:p>
          <w:p w14:paraId="207144D0">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（1）投标人投标文件制作机器码雷同；</w:t>
            </w:r>
          </w:p>
          <w:p w14:paraId="346999C8">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（2）投标文件创建标识码雷同；</w:t>
            </w:r>
          </w:p>
          <w:p w14:paraId="523D6CAA">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（3）投标文件制作计算机MAC地址雷同；</w:t>
            </w:r>
          </w:p>
          <w:p w14:paraId="197E9BE3">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（4）投标文件制作计算机硬盘序列号雷同；</w:t>
            </w:r>
          </w:p>
          <w:p w14:paraId="292F1D0C">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（5）招标文件下载IP地址雷同；</w:t>
            </w:r>
          </w:p>
          <w:p w14:paraId="0F7A1713">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（6）投标文件上传IP地址雷同；</w:t>
            </w:r>
          </w:p>
          <w:p w14:paraId="59D3F2D7">
            <w:pPr>
              <w:autoSpaceDE w:val="0"/>
              <w:autoSpaceDN w:val="0"/>
              <w:snapToGrid w:val="0"/>
              <w:ind w:firstLine="420" w:firstLineChars="200"/>
              <w:rPr>
                <w:rFonts w:hint="eastAsia" w:ascii="宋体" w:hAnsi="宋体" w:cs="宋体"/>
                <w:sz w:val="21"/>
                <w:szCs w:val="21"/>
              </w:rPr>
            </w:pPr>
            <w:r>
              <w:rPr>
                <w:rFonts w:ascii="宋体" w:hAnsi="宋体" w:cs="宋体"/>
                <w:sz w:val="21"/>
                <w:szCs w:val="21"/>
              </w:rPr>
              <w:t>（7）投标文件解密IP地址雷同。</w:t>
            </w:r>
          </w:p>
        </w:tc>
      </w:tr>
      <w:tr w14:paraId="2E4F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52" w:type="pct"/>
            <w:vAlign w:val="center"/>
          </w:tcPr>
          <w:p w14:paraId="3D7C1E4E">
            <w:pPr>
              <w:adjustRightInd w:val="0"/>
              <w:snapToGrid w:val="0"/>
              <w:spacing w:line="300" w:lineRule="exact"/>
              <w:jc w:val="center"/>
              <w:rPr>
                <w:rFonts w:hint="eastAsia" w:ascii="宋体" w:hAnsi="宋体" w:cs="宋体"/>
                <w:sz w:val="21"/>
                <w:szCs w:val="21"/>
              </w:rPr>
            </w:pPr>
            <w:r>
              <w:rPr>
                <w:rFonts w:hint="eastAsia" w:ascii="宋体" w:hAnsi="宋体" w:cs="宋体"/>
                <w:sz w:val="21"/>
                <w:szCs w:val="21"/>
              </w:rPr>
              <w:t>3.9.1</w:t>
            </w:r>
          </w:p>
        </w:tc>
        <w:tc>
          <w:tcPr>
            <w:tcW w:w="825" w:type="pct"/>
            <w:vAlign w:val="center"/>
          </w:tcPr>
          <w:p w14:paraId="5DA37784">
            <w:pPr>
              <w:adjustRightInd w:val="0"/>
              <w:snapToGrid w:val="0"/>
              <w:spacing w:line="300" w:lineRule="exact"/>
              <w:jc w:val="center"/>
              <w:rPr>
                <w:rFonts w:hint="eastAsia" w:ascii="宋体" w:hAnsi="宋体" w:cs="宋体"/>
                <w:sz w:val="21"/>
                <w:szCs w:val="21"/>
              </w:rPr>
            </w:pPr>
            <w:r>
              <w:rPr>
                <w:rFonts w:hint="eastAsia" w:ascii="宋体" w:hAnsi="宋体" w:cs="宋体"/>
                <w:sz w:val="21"/>
                <w:szCs w:val="21"/>
              </w:rPr>
              <w:t>评标</w:t>
            </w:r>
          </w:p>
          <w:p w14:paraId="632CF358">
            <w:pPr>
              <w:adjustRightInd w:val="0"/>
              <w:snapToGrid w:val="0"/>
              <w:spacing w:line="300" w:lineRule="exact"/>
              <w:jc w:val="center"/>
              <w:rPr>
                <w:rFonts w:hint="eastAsia" w:ascii="宋体" w:hAnsi="宋体" w:cs="宋体"/>
                <w:b/>
                <w:sz w:val="21"/>
                <w:szCs w:val="21"/>
              </w:rPr>
            </w:pPr>
            <w:r>
              <w:rPr>
                <w:rFonts w:hint="eastAsia" w:ascii="宋体" w:hAnsi="宋体" w:cs="宋体"/>
                <w:sz w:val="21"/>
                <w:szCs w:val="21"/>
              </w:rPr>
              <w:t>结果</w:t>
            </w:r>
          </w:p>
        </w:tc>
        <w:tc>
          <w:tcPr>
            <w:tcW w:w="3422" w:type="pct"/>
            <w:vAlign w:val="center"/>
          </w:tcPr>
          <w:p w14:paraId="4E80627E">
            <w:pPr>
              <w:adjustRightInd w:val="0"/>
              <w:snapToGrid w:val="0"/>
              <w:rPr>
                <w:rFonts w:hint="eastAsia" w:ascii="宋体" w:hAnsi="宋体" w:cs="宋体"/>
                <w:sz w:val="21"/>
                <w:szCs w:val="21"/>
              </w:rPr>
            </w:pPr>
            <w:r>
              <w:rPr>
                <w:rFonts w:hint="eastAsia" w:ascii="宋体" w:hAnsi="宋体" w:cs="宋体"/>
                <w:sz w:val="21"/>
                <w:szCs w:val="21"/>
              </w:rPr>
              <w:t>评标委员会按照评标办法前附表“1.评标办法”的规定推荐中标候选人。</w:t>
            </w:r>
          </w:p>
        </w:tc>
      </w:tr>
      <w:tr w14:paraId="76C7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00" w:type="pct"/>
            <w:gridSpan w:val="3"/>
            <w:vAlign w:val="center"/>
          </w:tcPr>
          <w:p w14:paraId="32977099">
            <w:pPr>
              <w:snapToGrid w:val="0"/>
              <w:spacing w:line="320" w:lineRule="exact"/>
              <w:ind w:right="113"/>
              <w:rPr>
                <w:rFonts w:hint="eastAsia" w:ascii="宋体" w:hAnsi="宋体" w:cs="宋体"/>
                <w:bCs/>
                <w:sz w:val="21"/>
                <w:szCs w:val="21"/>
              </w:rPr>
            </w:pPr>
            <w:r>
              <w:rPr>
                <w:rFonts w:hint="eastAsia" w:ascii="宋体" w:hAnsi="宋体" w:cs="宋体"/>
                <w:sz w:val="21"/>
                <w:szCs w:val="21"/>
              </w:rPr>
              <w:t>需补充的其他内容：无</w:t>
            </w:r>
          </w:p>
        </w:tc>
      </w:tr>
    </w:tbl>
    <w:p w14:paraId="5D401BC7">
      <w:pPr>
        <w:rPr>
          <w:rFonts w:hint="eastAsia" w:ascii="宋体" w:hAnsi="宋体" w:cs="宋体"/>
        </w:rPr>
      </w:pPr>
    </w:p>
    <w:bookmarkEnd w:id="18"/>
    <w:bookmarkEnd w:id="19"/>
    <w:bookmarkEnd w:id="20"/>
    <w:bookmarkEnd w:id="21"/>
    <w:bookmarkEnd w:id="22"/>
    <w:p w14:paraId="7F7676A2">
      <w:pPr>
        <w:pStyle w:val="18"/>
        <w:ind w:left="0" w:leftChars="0" w:firstLine="0" w:firstLineChars="0"/>
        <w:jc w:val="left"/>
        <w:rPr>
          <w:rFonts w:hint="eastAsia" w:cs="宋体"/>
        </w:rPr>
      </w:pPr>
      <w:r>
        <w:rPr>
          <w:rFonts w:hint="eastAsia" w:cs="宋体"/>
          <w:b/>
          <w:bCs/>
        </w:rPr>
        <w:t>附表</w:t>
      </w:r>
    </w:p>
    <w:tbl>
      <w:tblPr>
        <w:tblStyle w:val="19"/>
        <w:tblW w:w="0" w:type="auto"/>
        <w:jc w:val="center"/>
        <w:tblLayout w:type="fixed"/>
        <w:tblCellMar>
          <w:top w:w="0" w:type="dxa"/>
          <w:left w:w="108" w:type="dxa"/>
          <w:bottom w:w="0" w:type="dxa"/>
          <w:right w:w="108" w:type="dxa"/>
        </w:tblCellMar>
      </w:tblPr>
      <w:tblGrid>
        <w:gridCol w:w="817"/>
        <w:gridCol w:w="1701"/>
        <w:gridCol w:w="1418"/>
        <w:gridCol w:w="1134"/>
        <w:gridCol w:w="3572"/>
        <w:gridCol w:w="1212"/>
      </w:tblGrid>
      <w:tr w14:paraId="61689AFD">
        <w:tblPrEx>
          <w:tblCellMar>
            <w:top w:w="0" w:type="dxa"/>
            <w:left w:w="108" w:type="dxa"/>
            <w:bottom w:w="0" w:type="dxa"/>
            <w:right w:w="108" w:type="dxa"/>
          </w:tblCellMar>
        </w:tblPrEx>
        <w:trPr>
          <w:trHeight w:val="831" w:hRule="atLeast"/>
          <w:jc w:val="center"/>
        </w:trPr>
        <w:tc>
          <w:tcPr>
            <w:tcW w:w="817" w:type="dxa"/>
            <w:tcBorders>
              <w:top w:val="single" w:color="auto" w:sz="8" w:space="0"/>
              <w:left w:val="single" w:color="auto" w:sz="8" w:space="0"/>
              <w:bottom w:val="single" w:color="auto" w:sz="4" w:space="0"/>
              <w:right w:val="single" w:color="auto" w:sz="4" w:space="0"/>
            </w:tcBorders>
            <w:vAlign w:val="center"/>
          </w:tcPr>
          <w:p w14:paraId="7EB220C8">
            <w:pPr>
              <w:jc w:val="center"/>
              <w:rPr>
                <w:b/>
                <w:bCs/>
                <w:sz w:val="21"/>
                <w:szCs w:val="21"/>
              </w:rPr>
            </w:pPr>
            <w:r>
              <w:rPr>
                <w:rFonts w:hint="eastAsia"/>
                <w:b/>
                <w:bCs/>
                <w:sz w:val="21"/>
                <w:szCs w:val="21"/>
              </w:rPr>
              <w:t>条款号</w:t>
            </w:r>
          </w:p>
        </w:tc>
        <w:tc>
          <w:tcPr>
            <w:tcW w:w="1701" w:type="dxa"/>
            <w:tcBorders>
              <w:top w:val="single" w:color="auto" w:sz="8" w:space="0"/>
              <w:left w:val="single" w:color="auto" w:sz="4" w:space="0"/>
              <w:bottom w:val="single" w:color="auto" w:sz="4" w:space="0"/>
              <w:right w:val="single" w:color="auto" w:sz="4" w:space="0"/>
            </w:tcBorders>
            <w:vAlign w:val="center"/>
          </w:tcPr>
          <w:p w14:paraId="12A08348">
            <w:pPr>
              <w:jc w:val="center"/>
              <w:rPr>
                <w:b/>
                <w:bCs/>
                <w:sz w:val="21"/>
                <w:szCs w:val="21"/>
              </w:rPr>
            </w:pPr>
            <w:r>
              <w:rPr>
                <w:rFonts w:hint="eastAsia"/>
                <w:b/>
                <w:bCs/>
                <w:sz w:val="21"/>
                <w:szCs w:val="21"/>
              </w:rPr>
              <w:t>评分因素及其权重分值</w:t>
            </w:r>
          </w:p>
        </w:tc>
        <w:tc>
          <w:tcPr>
            <w:tcW w:w="1418" w:type="dxa"/>
            <w:tcBorders>
              <w:top w:val="single" w:color="auto" w:sz="8" w:space="0"/>
              <w:left w:val="single" w:color="auto" w:sz="4" w:space="0"/>
              <w:bottom w:val="single" w:color="auto" w:sz="4" w:space="0"/>
              <w:right w:val="single" w:color="auto" w:sz="4" w:space="0"/>
            </w:tcBorders>
            <w:vAlign w:val="center"/>
          </w:tcPr>
          <w:p w14:paraId="32D926EA">
            <w:pPr>
              <w:jc w:val="center"/>
              <w:rPr>
                <w:b/>
                <w:bCs/>
                <w:sz w:val="21"/>
                <w:szCs w:val="21"/>
              </w:rPr>
            </w:pPr>
            <w:r>
              <w:rPr>
                <w:rFonts w:hint="eastAsia"/>
                <w:b/>
                <w:bCs/>
                <w:sz w:val="21"/>
                <w:szCs w:val="21"/>
              </w:rPr>
              <w:t>各评分因素细分项</w:t>
            </w:r>
          </w:p>
        </w:tc>
        <w:tc>
          <w:tcPr>
            <w:tcW w:w="1134" w:type="dxa"/>
            <w:tcBorders>
              <w:top w:val="single" w:color="auto" w:sz="8" w:space="0"/>
              <w:left w:val="single" w:color="auto" w:sz="4" w:space="0"/>
              <w:bottom w:val="single" w:color="auto" w:sz="4" w:space="0"/>
              <w:right w:val="single" w:color="auto" w:sz="4" w:space="0"/>
            </w:tcBorders>
            <w:vAlign w:val="center"/>
          </w:tcPr>
          <w:p w14:paraId="4FB6BCF8">
            <w:pPr>
              <w:jc w:val="center"/>
              <w:rPr>
                <w:b/>
                <w:bCs/>
                <w:sz w:val="21"/>
                <w:szCs w:val="21"/>
              </w:rPr>
            </w:pPr>
            <w:r>
              <w:rPr>
                <w:rFonts w:hint="eastAsia"/>
                <w:b/>
                <w:bCs/>
                <w:sz w:val="21"/>
                <w:szCs w:val="21"/>
              </w:rPr>
              <w:t>评分因素权重分值</w:t>
            </w:r>
          </w:p>
        </w:tc>
        <w:tc>
          <w:tcPr>
            <w:tcW w:w="3572" w:type="dxa"/>
            <w:tcBorders>
              <w:top w:val="single" w:color="auto" w:sz="8" w:space="0"/>
              <w:left w:val="single" w:color="auto" w:sz="4" w:space="0"/>
              <w:bottom w:val="single" w:color="auto" w:sz="4" w:space="0"/>
              <w:right w:val="single" w:color="auto" w:sz="4" w:space="0"/>
            </w:tcBorders>
            <w:vAlign w:val="center"/>
          </w:tcPr>
          <w:p w14:paraId="307C4764">
            <w:pPr>
              <w:jc w:val="center"/>
              <w:rPr>
                <w:b/>
                <w:bCs/>
                <w:sz w:val="21"/>
                <w:szCs w:val="21"/>
              </w:rPr>
            </w:pPr>
            <w:r>
              <w:rPr>
                <w:rFonts w:hint="eastAsia"/>
                <w:b/>
                <w:bCs/>
                <w:sz w:val="21"/>
                <w:szCs w:val="21"/>
              </w:rPr>
              <w:t>评分标准</w:t>
            </w:r>
          </w:p>
        </w:tc>
        <w:tc>
          <w:tcPr>
            <w:tcW w:w="1212" w:type="dxa"/>
            <w:tcBorders>
              <w:top w:val="single" w:color="auto" w:sz="8" w:space="0"/>
              <w:left w:val="single" w:color="auto" w:sz="4" w:space="0"/>
              <w:bottom w:val="single" w:color="auto" w:sz="4" w:space="0"/>
              <w:right w:val="single" w:color="auto" w:sz="8" w:space="0"/>
            </w:tcBorders>
            <w:vAlign w:val="center"/>
          </w:tcPr>
          <w:p w14:paraId="2ACBA43E">
            <w:pPr>
              <w:jc w:val="center"/>
              <w:rPr>
                <w:b/>
                <w:bCs/>
                <w:sz w:val="21"/>
                <w:szCs w:val="21"/>
              </w:rPr>
            </w:pPr>
            <w:r>
              <w:rPr>
                <w:rFonts w:hint="eastAsia"/>
                <w:b/>
                <w:bCs/>
                <w:sz w:val="21"/>
                <w:szCs w:val="21"/>
              </w:rPr>
              <w:t>分值</w:t>
            </w:r>
          </w:p>
        </w:tc>
      </w:tr>
      <w:tr w14:paraId="4BEB362E">
        <w:tblPrEx>
          <w:tblCellMar>
            <w:top w:w="0" w:type="dxa"/>
            <w:left w:w="108" w:type="dxa"/>
            <w:bottom w:w="0" w:type="dxa"/>
            <w:right w:w="108" w:type="dxa"/>
          </w:tblCellMar>
        </w:tblPrEx>
        <w:trPr>
          <w:trHeight w:val="299" w:hRule="atLeast"/>
          <w:jc w:val="center"/>
        </w:trPr>
        <w:tc>
          <w:tcPr>
            <w:tcW w:w="817" w:type="dxa"/>
            <w:vMerge w:val="restart"/>
            <w:tcBorders>
              <w:top w:val="single" w:color="auto" w:sz="4" w:space="0"/>
              <w:left w:val="single" w:color="auto" w:sz="8" w:space="0"/>
              <w:right w:val="single" w:color="auto" w:sz="4" w:space="0"/>
            </w:tcBorders>
            <w:vAlign w:val="center"/>
          </w:tcPr>
          <w:p w14:paraId="050ECC28">
            <w:pPr>
              <w:jc w:val="center"/>
              <w:rPr>
                <w:sz w:val="21"/>
                <w:szCs w:val="21"/>
              </w:rPr>
            </w:pPr>
            <w:r>
              <w:rPr>
                <w:rFonts w:hint="eastAsia"/>
                <w:sz w:val="21"/>
                <w:szCs w:val="21"/>
              </w:rPr>
              <w:t>2.2.2（1）</w:t>
            </w:r>
          </w:p>
        </w:tc>
        <w:tc>
          <w:tcPr>
            <w:tcW w:w="1701" w:type="dxa"/>
            <w:vMerge w:val="restart"/>
            <w:tcBorders>
              <w:top w:val="single" w:color="auto" w:sz="4" w:space="0"/>
              <w:left w:val="single" w:color="auto" w:sz="4" w:space="0"/>
              <w:right w:val="single" w:color="auto" w:sz="4" w:space="0"/>
            </w:tcBorders>
            <w:vAlign w:val="center"/>
          </w:tcPr>
          <w:p w14:paraId="23BAD1C1">
            <w:pPr>
              <w:jc w:val="center"/>
              <w:rPr>
                <w:sz w:val="21"/>
                <w:szCs w:val="21"/>
              </w:rPr>
            </w:pPr>
            <w:r>
              <w:rPr>
                <w:sz w:val="21"/>
                <w:szCs w:val="21"/>
              </w:rPr>
              <w:t>施工组织设计</w:t>
            </w:r>
            <w:r>
              <w:rPr>
                <w:rFonts w:hint="eastAsia"/>
                <w:sz w:val="21"/>
                <w:szCs w:val="21"/>
              </w:rPr>
              <w:t>（暗标）（40分）</w:t>
            </w:r>
          </w:p>
        </w:tc>
        <w:tc>
          <w:tcPr>
            <w:tcW w:w="1418" w:type="dxa"/>
            <w:vMerge w:val="restart"/>
            <w:tcBorders>
              <w:top w:val="single" w:color="auto" w:sz="4" w:space="0"/>
              <w:left w:val="single" w:color="auto" w:sz="4" w:space="0"/>
              <w:right w:val="single" w:color="auto" w:sz="4" w:space="0"/>
            </w:tcBorders>
            <w:vAlign w:val="center"/>
          </w:tcPr>
          <w:p w14:paraId="510DADEE">
            <w:pPr>
              <w:jc w:val="center"/>
              <w:rPr>
                <w:sz w:val="21"/>
                <w:szCs w:val="21"/>
              </w:rPr>
            </w:pPr>
            <w:r>
              <w:rPr>
                <w:rFonts w:hint="eastAsia"/>
                <w:sz w:val="21"/>
                <w:szCs w:val="21"/>
              </w:rPr>
              <w:t>总体施工组织布置及规划</w:t>
            </w:r>
          </w:p>
        </w:tc>
        <w:tc>
          <w:tcPr>
            <w:tcW w:w="1134" w:type="dxa"/>
            <w:vMerge w:val="restart"/>
            <w:tcBorders>
              <w:top w:val="single" w:color="auto" w:sz="4" w:space="0"/>
              <w:left w:val="single" w:color="auto" w:sz="4" w:space="0"/>
              <w:right w:val="single" w:color="auto" w:sz="4" w:space="0"/>
            </w:tcBorders>
            <w:vAlign w:val="center"/>
          </w:tcPr>
          <w:p w14:paraId="14D674FB">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02527BC8">
            <w:pPr>
              <w:rPr>
                <w:sz w:val="21"/>
                <w:szCs w:val="21"/>
              </w:rPr>
            </w:pPr>
            <w:r>
              <w:rPr>
                <w:sz w:val="21"/>
                <w:szCs w:val="21"/>
              </w:rPr>
              <w:t xml:space="preserve">内容完整，编制水平高  </w:t>
            </w:r>
          </w:p>
        </w:tc>
        <w:tc>
          <w:tcPr>
            <w:tcW w:w="1212" w:type="dxa"/>
            <w:tcBorders>
              <w:top w:val="single" w:color="auto" w:sz="8" w:space="0"/>
              <w:left w:val="single" w:color="auto" w:sz="4" w:space="0"/>
              <w:bottom w:val="single" w:color="auto" w:sz="4" w:space="0"/>
              <w:right w:val="single" w:color="auto" w:sz="8" w:space="0"/>
            </w:tcBorders>
            <w:vAlign w:val="center"/>
          </w:tcPr>
          <w:p w14:paraId="31635CC8">
            <w:pPr>
              <w:jc w:val="center"/>
              <w:rPr>
                <w:sz w:val="21"/>
                <w:szCs w:val="21"/>
              </w:rPr>
            </w:pPr>
            <w:r>
              <w:rPr>
                <w:rFonts w:hint="eastAsia"/>
                <w:sz w:val="21"/>
                <w:szCs w:val="21"/>
              </w:rPr>
              <w:t>4.0-5.0</w:t>
            </w:r>
          </w:p>
        </w:tc>
      </w:tr>
      <w:tr w14:paraId="511BF3C7">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198A652B">
            <w:pPr>
              <w:jc w:val="center"/>
              <w:rPr>
                <w:sz w:val="21"/>
                <w:szCs w:val="21"/>
              </w:rPr>
            </w:pPr>
          </w:p>
        </w:tc>
        <w:tc>
          <w:tcPr>
            <w:tcW w:w="1701" w:type="dxa"/>
            <w:vMerge w:val="continue"/>
            <w:tcBorders>
              <w:left w:val="single" w:color="auto" w:sz="4" w:space="0"/>
              <w:right w:val="single" w:color="auto" w:sz="4" w:space="0"/>
            </w:tcBorders>
            <w:vAlign w:val="center"/>
          </w:tcPr>
          <w:p w14:paraId="6D57F005">
            <w:pPr>
              <w:jc w:val="center"/>
              <w:rPr>
                <w:sz w:val="21"/>
                <w:szCs w:val="21"/>
              </w:rPr>
            </w:pPr>
          </w:p>
        </w:tc>
        <w:tc>
          <w:tcPr>
            <w:tcW w:w="1418" w:type="dxa"/>
            <w:vMerge w:val="continue"/>
            <w:tcBorders>
              <w:left w:val="single" w:color="auto" w:sz="4" w:space="0"/>
              <w:right w:val="single" w:color="auto" w:sz="4" w:space="0"/>
            </w:tcBorders>
            <w:vAlign w:val="center"/>
          </w:tcPr>
          <w:p w14:paraId="619FE201">
            <w:pPr>
              <w:jc w:val="center"/>
              <w:rPr>
                <w:sz w:val="21"/>
                <w:szCs w:val="21"/>
              </w:rPr>
            </w:pPr>
          </w:p>
        </w:tc>
        <w:tc>
          <w:tcPr>
            <w:tcW w:w="1134" w:type="dxa"/>
            <w:vMerge w:val="continue"/>
            <w:tcBorders>
              <w:left w:val="single" w:color="auto" w:sz="4" w:space="0"/>
              <w:right w:val="single" w:color="auto" w:sz="4" w:space="0"/>
            </w:tcBorders>
            <w:vAlign w:val="center"/>
          </w:tcPr>
          <w:p w14:paraId="4DAE39AC">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2FE7583F">
            <w:pPr>
              <w:rPr>
                <w:sz w:val="21"/>
                <w:szCs w:val="21"/>
              </w:rPr>
            </w:pPr>
            <w:r>
              <w:rPr>
                <w:sz w:val="21"/>
                <w:szCs w:val="21"/>
              </w:rPr>
              <w:t>内容较完整，编制水平较高</w:t>
            </w:r>
          </w:p>
        </w:tc>
        <w:tc>
          <w:tcPr>
            <w:tcW w:w="1212" w:type="dxa"/>
            <w:tcBorders>
              <w:top w:val="single" w:color="auto" w:sz="4" w:space="0"/>
              <w:left w:val="single" w:color="auto" w:sz="4" w:space="0"/>
              <w:bottom w:val="single" w:color="auto" w:sz="4" w:space="0"/>
              <w:right w:val="single" w:color="auto" w:sz="8" w:space="0"/>
            </w:tcBorders>
            <w:vAlign w:val="center"/>
          </w:tcPr>
          <w:p w14:paraId="59313DC7">
            <w:pPr>
              <w:jc w:val="center"/>
              <w:rPr>
                <w:sz w:val="21"/>
                <w:szCs w:val="21"/>
              </w:rPr>
            </w:pPr>
            <w:r>
              <w:rPr>
                <w:rFonts w:hint="eastAsia"/>
                <w:sz w:val="21"/>
                <w:szCs w:val="21"/>
              </w:rPr>
              <w:t>3.0-4.0</w:t>
            </w:r>
          </w:p>
        </w:tc>
      </w:tr>
      <w:tr w14:paraId="0A55BCF3">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3863F621">
            <w:pPr>
              <w:jc w:val="center"/>
              <w:rPr>
                <w:sz w:val="21"/>
                <w:szCs w:val="21"/>
              </w:rPr>
            </w:pPr>
          </w:p>
        </w:tc>
        <w:tc>
          <w:tcPr>
            <w:tcW w:w="1701" w:type="dxa"/>
            <w:vMerge w:val="continue"/>
            <w:tcBorders>
              <w:left w:val="single" w:color="auto" w:sz="4" w:space="0"/>
              <w:right w:val="single" w:color="auto" w:sz="4" w:space="0"/>
            </w:tcBorders>
            <w:vAlign w:val="center"/>
          </w:tcPr>
          <w:p w14:paraId="6DE62BD9">
            <w:pPr>
              <w:jc w:val="center"/>
              <w:rPr>
                <w:sz w:val="21"/>
                <w:szCs w:val="21"/>
              </w:rPr>
            </w:pPr>
          </w:p>
        </w:tc>
        <w:tc>
          <w:tcPr>
            <w:tcW w:w="1418" w:type="dxa"/>
            <w:vMerge w:val="continue"/>
            <w:tcBorders>
              <w:left w:val="single" w:color="auto" w:sz="4" w:space="0"/>
              <w:right w:val="single" w:color="auto" w:sz="4" w:space="0"/>
            </w:tcBorders>
            <w:vAlign w:val="center"/>
          </w:tcPr>
          <w:p w14:paraId="322D1832">
            <w:pPr>
              <w:jc w:val="center"/>
              <w:rPr>
                <w:sz w:val="21"/>
                <w:szCs w:val="21"/>
              </w:rPr>
            </w:pPr>
          </w:p>
        </w:tc>
        <w:tc>
          <w:tcPr>
            <w:tcW w:w="1134" w:type="dxa"/>
            <w:vMerge w:val="continue"/>
            <w:tcBorders>
              <w:left w:val="single" w:color="auto" w:sz="4" w:space="0"/>
              <w:right w:val="single" w:color="auto" w:sz="4" w:space="0"/>
            </w:tcBorders>
            <w:vAlign w:val="center"/>
          </w:tcPr>
          <w:p w14:paraId="07061374">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0F250217">
            <w:pPr>
              <w:rPr>
                <w:sz w:val="21"/>
                <w:szCs w:val="21"/>
              </w:rPr>
            </w:pPr>
            <w:r>
              <w:rPr>
                <w:sz w:val="21"/>
                <w:szCs w:val="21"/>
              </w:rPr>
              <w:t>内容基本完整，编制水平一般</w:t>
            </w:r>
          </w:p>
        </w:tc>
        <w:tc>
          <w:tcPr>
            <w:tcW w:w="1212" w:type="dxa"/>
            <w:tcBorders>
              <w:top w:val="single" w:color="auto" w:sz="4" w:space="0"/>
              <w:left w:val="single" w:color="auto" w:sz="4" w:space="0"/>
              <w:bottom w:val="single" w:color="auto" w:sz="4" w:space="0"/>
              <w:right w:val="single" w:color="auto" w:sz="8" w:space="0"/>
            </w:tcBorders>
            <w:vAlign w:val="center"/>
          </w:tcPr>
          <w:p w14:paraId="19CDE1A2">
            <w:pPr>
              <w:jc w:val="center"/>
              <w:rPr>
                <w:sz w:val="21"/>
                <w:szCs w:val="21"/>
              </w:rPr>
            </w:pPr>
            <w:r>
              <w:rPr>
                <w:rFonts w:hint="eastAsia"/>
                <w:sz w:val="21"/>
                <w:szCs w:val="21"/>
              </w:rPr>
              <w:t>3.0</w:t>
            </w:r>
          </w:p>
        </w:tc>
      </w:tr>
      <w:tr w14:paraId="48E474E6">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163E797E">
            <w:pPr>
              <w:jc w:val="center"/>
              <w:rPr>
                <w:sz w:val="21"/>
                <w:szCs w:val="21"/>
              </w:rPr>
            </w:pPr>
          </w:p>
        </w:tc>
        <w:tc>
          <w:tcPr>
            <w:tcW w:w="1701" w:type="dxa"/>
            <w:vMerge w:val="continue"/>
            <w:tcBorders>
              <w:left w:val="single" w:color="auto" w:sz="4" w:space="0"/>
              <w:right w:val="single" w:color="auto" w:sz="4" w:space="0"/>
            </w:tcBorders>
            <w:vAlign w:val="center"/>
          </w:tcPr>
          <w:p w14:paraId="75C787A0">
            <w:pPr>
              <w:jc w:val="center"/>
              <w:rPr>
                <w:sz w:val="21"/>
                <w:szCs w:val="21"/>
              </w:rPr>
            </w:pPr>
          </w:p>
        </w:tc>
        <w:tc>
          <w:tcPr>
            <w:tcW w:w="1418" w:type="dxa"/>
            <w:vMerge w:val="restart"/>
            <w:tcBorders>
              <w:top w:val="single" w:color="auto" w:sz="4" w:space="0"/>
              <w:left w:val="single" w:color="auto" w:sz="4" w:space="0"/>
              <w:right w:val="single" w:color="auto" w:sz="4" w:space="0"/>
            </w:tcBorders>
            <w:vAlign w:val="center"/>
          </w:tcPr>
          <w:p w14:paraId="02AAEF74">
            <w:pPr>
              <w:jc w:val="center"/>
              <w:rPr>
                <w:sz w:val="21"/>
                <w:szCs w:val="21"/>
              </w:rPr>
            </w:pPr>
            <w:r>
              <w:rPr>
                <w:sz w:val="21"/>
                <w:szCs w:val="21"/>
              </w:rPr>
              <w:t>施工方案</w:t>
            </w:r>
            <w:r>
              <w:rPr>
                <w:rFonts w:hint="eastAsia"/>
                <w:sz w:val="21"/>
                <w:szCs w:val="21"/>
              </w:rPr>
              <w:t>、方法</w:t>
            </w:r>
            <w:r>
              <w:rPr>
                <w:sz w:val="21"/>
                <w:szCs w:val="21"/>
              </w:rPr>
              <w:t>与技术措施</w:t>
            </w:r>
          </w:p>
        </w:tc>
        <w:tc>
          <w:tcPr>
            <w:tcW w:w="1134" w:type="dxa"/>
            <w:vMerge w:val="restart"/>
            <w:tcBorders>
              <w:top w:val="single" w:color="auto" w:sz="4" w:space="0"/>
              <w:left w:val="single" w:color="auto" w:sz="4" w:space="0"/>
              <w:right w:val="single" w:color="auto" w:sz="4" w:space="0"/>
            </w:tcBorders>
            <w:vAlign w:val="center"/>
          </w:tcPr>
          <w:p w14:paraId="72B0DF06">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0668D7A1">
            <w:pPr>
              <w:rPr>
                <w:sz w:val="21"/>
                <w:szCs w:val="21"/>
              </w:rPr>
            </w:pPr>
            <w:r>
              <w:rPr>
                <w:sz w:val="21"/>
                <w:szCs w:val="21"/>
              </w:rPr>
              <w:t>科学合理</w:t>
            </w:r>
            <w:r>
              <w:rPr>
                <w:rFonts w:hint="eastAsia"/>
                <w:sz w:val="21"/>
                <w:szCs w:val="21"/>
              </w:rPr>
              <w:t>，适用性及合理性高的</w:t>
            </w:r>
          </w:p>
        </w:tc>
        <w:tc>
          <w:tcPr>
            <w:tcW w:w="1212" w:type="dxa"/>
            <w:tcBorders>
              <w:top w:val="single" w:color="auto" w:sz="4" w:space="0"/>
              <w:left w:val="single" w:color="auto" w:sz="4" w:space="0"/>
              <w:bottom w:val="single" w:color="auto" w:sz="4" w:space="0"/>
              <w:right w:val="single" w:color="auto" w:sz="8" w:space="0"/>
            </w:tcBorders>
            <w:vAlign w:val="center"/>
          </w:tcPr>
          <w:p w14:paraId="7F24FBFF">
            <w:pPr>
              <w:jc w:val="center"/>
              <w:rPr>
                <w:sz w:val="21"/>
                <w:szCs w:val="21"/>
              </w:rPr>
            </w:pPr>
            <w:r>
              <w:rPr>
                <w:rFonts w:hint="eastAsia"/>
                <w:sz w:val="21"/>
                <w:szCs w:val="21"/>
              </w:rPr>
              <w:t>4.0-5.0</w:t>
            </w:r>
          </w:p>
        </w:tc>
      </w:tr>
      <w:tr w14:paraId="2A76A587">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F6580C7">
            <w:pPr>
              <w:jc w:val="center"/>
              <w:rPr>
                <w:sz w:val="21"/>
                <w:szCs w:val="21"/>
              </w:rPr>
            </w:pPr>
          </w:p>
        </w:tc>
        <w:tc>
          <w:tcPr>
            <w:tcW w:w="1701" w:type="dxa"/>
            <w:vMerge w:val="continue"/>
            <w:tcBorders>
              <w:left w:val="single" w:color="auto" w:sz="4" w:space="0"/>
              <w:right w:val="single" w:color="auto" w:sz="4" w:space="0"/>
            </w:tcBorders>
            <w:vAlign w:val="center"/>
          </w:tcPr>
          <w:p w14:paraId="740A61B4">
            <w:pPr>
              <w:jc w:val="center"/>
              <w:rPr>
                <w:sz w:val="21"/>
                <w:szCs w:val="21"/>
              </w:rPr>
            </w:pPr>
          </w:p>
        </w:tc>
        <w:tc>
          <w:tcPr>
            <w:tcW w:w="1418" w:type="dxa"/>
            <w:vMerge w:val="continue"/>
            <w:tcBorders>
              <w:left w:val="single" w:color="auto" w:sz="4" w:space="0"/>
              <w:right w:val="single" w:color="auto" w:sz="4" w:space="0"/>
            </w:tcBorders>
            <w:vAlign w:val="center"/>
          </w:tcPr>
          <w:p w14:paraId="4D5329B4">
            <w:pPr>
              <w:jc w:val="center"/>
              <w:rPr>
                <w:sz w:val="21"/>
                <w:szCs w:val="21"/>
              </w:rPr>
            </w:pPr>
          </w:p>
        </w:tc>
        <w:tc>
          <w:tcPr>
            <w:tcW w:w="1134" w:type="dxa"/>
            <w:vMerge w:val="continue"/>
            <w:tcBorders>
              <w:left w:val="single" w:color="auto" w:sz="4" w:space="0"/>
              <w:right w:val="single" w:color="auto" w:sz="4" w:space="0"/>
            </w:tcBorders>
            <w:vAlign w:val="center"/>
          </w:tcPr>
          <w:p w14:paraId="0A73CD37">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17945CE6">
            <w:pPr>
              <w:rPr>
                <w:sz w:val="21"/>
                <w:szCs w:val="21"/>
              </w:rPr>
            </w:pPr>
            <w:r>
              <w:rPr>
                <w:sz w:val="21"/>
                <w:szCs w:val="21"/>
              </w:rPr>
              <w:t>较合理</w:t>
            </w:r>
            <w:r>
              <w:rPr>
                <w:rFonts w:hint="eastAsia"/>
                <w:sz w:val="21"/>
                <w:szCs w:val="21"/>
              </w:rPr>
              <w:t>，适用性及合理性较高的</w:t>
            </w:r>
          </w:p>
        </w:tc>
        <w:tc>
          <w:tcPr>
            <w:tcW w:w="1212" w:type="dxa"/>
            <w:tcBorders>
              <w:top w:val="single" w:color="auto" w:sz="4" w:space="0"/>
              <w:left w:val="single" w:color="auto" w:sz="4" w:space="0"/>
              <w:bottom w:val="single" w:color="auto" w:sz="4" w:space="0"/>
              <w:right w:val="single" w:color="auto" w:sz="8" w:space="0"/>
            </w:tcBorders>
            <w:vAlign w:val="center"/>
          </w:tcPr>
          <w:p w14:paraId="31BC9396">
            <w:pPr>
              <w:jc w:val="center"/>
              <w:rPr>
                <w:sz w:val="21"/>
                <w:szCs w:val="21"/>
              </w:rPr>
            </w:pPr>
            <w:r>
              <w:rPr>
                <w:rFonts w:hint="eastAsia"/>
                <w:sz w:val="21"/>
                <w:szCs w:val="21"/>
              </w:rPr>
              <w:t>3.0-4.0</w:t>
            </w:r>
          </w:p>
        </w:tc>
      </w:tr>
      <w:tr w14:paraId="6E2B35E7">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24B90330">
            <w:pPr>
              <w:jc w:val="center"/>
              <w:rPr>
                <w:sz w:val="21"/>
                <w:szCs w:val="21"/>
              </w:rPr>
            </w:pPr>
          </w:p>
        </w:tc>
        <w:tc>
          <w:tcPr>
            <w:tcW w:w="1701" w:type="dxa"/>
            <w:vMerge w:val="continue"/>
            <w:tcBorders>
              <w:left w:val="single" w:color="auto" w:sz="4" w:space="0"/>
              <w:right w:val="single" w:color="auto" w:sz="4" w:space="0"/>
            </w:tcBorders>
            <w:vAlign w:val="center"/>
          </w:tcPr>
          <w:p w14:paraId="68BC056D">
            <w:pPr>
              <w:jc w:val="center"/>
              <w:rPr>
                <w:sz w:val="21"/>
                <w:szCs w:val="21"/>
              </w:rPr>
            </w:pPr>
          </w:p>
        </w:tc>
        <w:tc>
          <w:tcPr>
            <w:tcW w:w="1418" w:type="dxa"/>
            <w:vMerge w:val="continue"/>
            <w:tcBorders>
              <w:left w:val="single" w:color="auto" w:sz="4" w:space="0"/>
              <w:bottom w:val="single" w:color="auto" w:sz="4" w:space="0"/>
              <w:right w:val="single" w:color="auto" w:sz="4" w:space="0"/>
            </w:tcBorders>
            <w:vAlign w:val="center"/>
          </w:tcPr>
          <w:p w14:paraId="10292142">
            <w:pPr>
              <w:jc w:val="center"/>
              <w:rPr>
                <w:sz w:val="21"/>
                <w:szCs w:val="21"/>
              </w:rPr>
            </w:pPr>
          </w:p>
        </w:tc>
        <w:tc>
          <w:tcPr>
            <w:tcW w:w="1134" w:type="dxa"/>
            <w:vMerge w:val="continue"/>
            <w:tcBorders>
              <w:left w:val="single" w:color="auto" w:sz="4" w:space="0"/>
              <w:bottom w:val="single" w:color="auto" w:sz="4" w:space="0"/>
              <w:right w:val="single" w:color="auto" w:sz="4" w:space="0"/>
            </w:tcBorders>
            <w:vAlign w:val="center"/>
          </w:tcPr>
          <w:p w14:paraId="14EDA1B8">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7B61C0EB">
            <w:pPr>
              <w:rPr>
                <w:sz w:val="21"/>
                <w:szCs w:val="21"/>
              </w:rPr>
            </w:pPr>
            <w:r>
              <w:rPr>
                <w:sz w:val="21"/>
                <w:szCs w:val="21"/>
              </w:rPr>
              <w:t>一般</w:t>
            </w:r>
          </w:p>
        </w:tc>
        <w:tc>
          <w:tcPr>
            <w:tcW w:w="1212" w:type="dxa"/>
            <w:tcBorders>
              <w:top w:val="single" w:color="auto" w:sz="4" w:space="0"/>
              <w:left w:val="single" w:color="auto" w:sz="4" w:space="0"/>
              <w:bottom w:val="single" w:color="auto" w:sz="4" w:space="0"/>
              <w:right w:val="single" w:color="auto" w:sz="8" w:space="0"/>
            </w:tcBorders>
            <w:vAlign w:val="center"/>
          </w:tcPr>
          <w:p w14:paraId="7032F699">
            <w:pPr>
              <w:jc w:val="center"/>
              <w:rPr>
                <w:sz w:val="21"/>
                <w:szCs w:val="21"/>
              </w:rPr>
            </w:pPr>
            <w:r>
              <w:rPr>
                <w:rFonts w:hint="eastAsia"/>
                <w:sz w:val="21"/>
                <w:szCs w:val="21"/>
              </w:rPr>
              <w:t>3.0</w:t>
            </w:r>
          </w:p>
        </w:tc>
      </w:tr>
      <w:tr w14:paraId="0192D1D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0ABFD588">
            <w:pPr>
              <w:jc w:val="center"/>
              <w:rPr>
                <w:sz w:val="21"/>
                <w:szCs w:val="21"/>
              </w:rPr>
            </w:pPr>
          </w:p>
        </w:tc>
        <w:tc>
          <w:tcPr>
            <w:tcW w:w="1701" w:type="dxa"/>
            <w:vMerge w:val="continue"/>
            <w:tcBorders>
              <w:left w:val="single" w:color="auto" w:sz="4" w:space="0"/>
              <w:right w:val="single" w:color="auto" w:sz="4" w:space="0"/>
            </w:tcBorders>
            <w:vAlign w:val="center"/>
          </w:tcPr>
          <w:p w14:paraId="7C6F8A8F">
            <w:pPr>
              <w:jc w:val="center"/>
              <w:rPr>
                <w:sz w:val="21"/>
                <w:szCs w:val="21"/>
              </w:rPr>
            </w:pPr>
          </w:p>
        </w:tc>
        <w:tc>
          <w:tcPr>
            <w:tcW w:w="1418" w:type="dxa"/>
            <w:vMerge w:val="restart"/>
            <w:tcBorders>
              <w:left w:val="single" w:color="auto" w:sz="4" w:space="0"/>
              <w:right w:val="single" w:color="auto" w:sz="4" w:space="0"/>
            </w:tcBorders>
            <w:vAlign w:val="center"/>
          </w:tcPr>
          <w:p w14:paraId="5E238D14">
            <w:pPr>
              <w:jc w:val="center"/>
              <w:rPr>
                <w:sz w:val="21"/>
                <w:szCs w:val="21"/>
              </w:rPr>
            </w:pPr>
            <w:r>
              <w:rPr>
                <w:rFonts w:hint="eastAsia"/>
                <w:sz w:val="21"/>
                <w:szCs w:val="21"/>
              </w:rPr>
              <w:t>工期的保证体系及保证措施</w:t>
            </w:r>
          </w:p>
        </w:tc>
        <w:tc>
          <w:tcPr>
            <w:tcW w:w="1134" w:type="dxa"/>
            <w:vMerge w:val="restart"/>
            <w:tcBorders>
              <w:left w:val="single" w:color="auto" w:sz="4" w:space="0"/>
              <w:right w:val="single" w:color="auto" w:sz="4" w:space="0"/>
            </w:tcBorders>
            <w:vAlign w:val="center"/>
          </w:tcPr>
          <w:p w14:paraId="14E81F4C">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280550B9">
            <w:pPr>
              <w:rPr>
                <w:sz w:val="21"/>
                <w:szCs w:val="21"/>
              </w:rPr>
            </w:pPr>
            <w:r>
              <w:rPr>
                <w:sz w:val="21"/>
                <w:szCs w:val="21"/>
              </w:rPr>
              <w:t>科学合理</w:t>
            </w:r>
            <w:r>
              <w:rPr>
                <w:rFonts w:hint="eastAsia"/>
                <w:sz w:val="21"/>
                <w:szCs w:val="21"/>
              </w:rPr>
              <w:t>，适用性及合理性高的</w:t>
            </w:r>
          </w:p>
        </w:tc>
        <w:tc>
          <w:tcPr>
            <w:tcW w:w="1212" w:type="dxa"/>
            <w:tcBorders>
              <w:top w:val="single" w:color="auto" w:sz="4" w:space="0"/>
              <w:left w:val="single" w:color="auto" w:sz="4" w:space="0"/>
              <w:bottom w:val="single" w:color="auto" w:sz="4" w:space="0"/>
              <w:right w:val="single" w:color="auto" w:sz="8" w:space="0"/>
            </w:tcBorders>
            <w:vAlign w:val="center"/>
          </w:tcPr>
          <w:p w14:paraId="6EF67FD4">
            <w:pPr>
              <w:jc w:val="center"/>
              <w:rPr>
                <w:sz w:val="21"/>
                <w:szCs w:val="21"/>
              </w:rPr>
            </w:pPr>
            <w:r>
              <w:rPr>
                <w:rFonts w:hint="eastAsia"/>
                <w:sz w:val="21"/>
                <w:szCs w:val="21"/>
              </w:rPr>
              <w:t>4.0-5.0</w:t>
            </w:r>
          </w:p>
        </w:tc>
      </w:tr>
      <w:tr w14:paraId="361918D1">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88804AE">
            <w:pPr>
              <w:jc w:val="center"/>
              <w:rPr>
                <w:sz w:val="21"/>
                <w:szCs w:val="21"/>
              </w:rPr>
            </w:pPr>
          </w:p>
        </w:tc>
        <w:tc>
          <w:tcPr>
            <w:tcW w:w="1701" w:type="dxa"/>
            <w:vMerge w:val="continue"/>
            <w:tcBorders>
              <w:left w:val="single" w:color="auto" w:sz="4" w:space="0"/>
              <w:right w:val="single" w:color="auto" w:sz="4" w:space="0"/>
            </w:tcBorders>
            <w:vAlign w:val="center"/>
          </w:tcPr>
          <w:p w14:paraId="15288B8A">
            <w:pPr>
              <w:jc w:val="center"/>
              <w:rPr>
                <w:sz w:val="21"/>
                <w:szCs w:val="21"/>
              </w:rPr>
            </w:pPr>
          </w:p>
        </w:tc>
        <w:tc>
          <w:tcPr>
            <w:tcW w:w="1418" w:type="dxa"/>
            <w:vMerge w:val="continue"/>
            <w:tcBorders>
              <w:left w:val="single" w:color="auto" w:sz="4" w:space="0"/>
              <w:right w:val="single" w:color="auto" w:sz="4" w:space="0"/>
            </w:tcBorders>
            <w:vAlign w:val="center"/>
          </w:tcPr>
          <w:p w14:paraId="4F7DE39B">
            <w:pPr>
              <w:jc w:val="center"/>
              <w:rPr>
                <w:sz w:val="21"/>
                <w:szCs w:val="21"/>
              </w:rPr>
            </w:pPr>
          </w:p>
        </w:tc>
        <w:tc>
          <w:tcPr>
            <w:tcW w:w="1134" w:type="dxa"/>
            <w:vMerge w:val="continue"/>
            <w:tcBorders>
              <w:left w:val="single" w:color="auto" w:sz="4" w:space="0"/>
              <w:right w:val="single" w:color="auto" w:sz="4" w:space="0"/>
            </w:tcBorders>
            <w:vAlign w:val="center"/>
          </w:tcPr>
          <w:p w14:paraId="2B918D2C">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09E19EFD">
            <w:pPr>
              <w:rPr>
                <w:sz w:val="21"/>
                <w:szCs w:val="21"/>
              </w:rPr>
            </w:pPr>
            <w:r>
              <w:rPr>
                <w:sz w:val="21"/>
                <w:szCs w:val="21"/>
              </w:rPr>
              <w:t>较合理</w:t>
            </w:r>
            <w:r>
              <w:rPr>
                <w:rFonts w:hint="eastAsia"/>
                <w:sz w:val="21"/>
                <w:szCs w:val="21"/>
              </w:rPr>
              <w:t>，适用性及合理性较高的</w:t>
            </w:r>
          </w:p>
        </w:tc>
        <w:tc>
          <w:tcPr>
            <w:tcW w:w="1212" w:type="dxa"/>
            <w:tcBorders>
              <w:top w:val="single" w:color="auto" w:sz="4" w:space="0"/>
              <w:left w:val="single" w:color="auto" w:sz="4" w:space="0"/>
              <w:bottom w:val="single" w:color="auto" w:sz="4" w:space="0"/>
              <w:right w:val="single" w:color="auto" w:sz="8" w:space="0"/>
            </w:tcBorders>
            <w:vAlign w:val="center"/>
          </w:tcPr>
          <w:p w14:paraId="2F9D06C2">
            <w:pPr>
              <w:jc w:val="center"/>
              <w:rPr>
                <w:sz w:val="21"/>
                <w:szCs w:val="21"/>
              </w:rPr>
            </w:pPr>
            <w:r>
              <w:rPr>
                <w:rFonts w:hint="eastAsia"/>
                <w:sz w:val="21"/>
                <w:szCs w:val="21"/>
              </w:rPr>
              <w:t>3.0-4.0</w:t>
            </w:r>
          </w:p>
        </w:tc>
      </w:tr>
      <w:tr w14:paraId="5751FA29">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BD9E9AE">
            <w:pPr>
              <w:jc w:val="center"/>
              <w:rPr>
                <w:sz w:val="21"/>
                <w:szCs w:val="21"/>
              </w:rPr>
            </w:pPr>
          </w:p>
        </w:tc>
        <w:tc>
          <w:tcPr>
            <w:tcW w:w="1701" w:type="dxa"/>
            <w:vMerge w:val="continue"/>
            <w:tcBorders>
              <w:left w:val="single" w:color="auto" w:sz="4" w:space="0"/>
              <w:right w:val="single" w:color="auto" w:sz="4" w:space="0"/>
            </w:tcBorders>
            <w:vAlign w:val="center"/>
          </w:tcPr>
          <w:p w14:paraId="71E6BDA8">
            <w:pPr>
              <w:jc w:val="center"/>
              <w:rPr>
                <w:sz w:val="21"/>
                <w:szCs w:val="21"/>
              </w:rPr>
            </w:pPr>
          </w:p>
        </w:tc>
        <w:tc>
          <w:tcPr>
            <w:tcW w:w="1418" w:type="dxa"/>
            <w:vMerge w:val="continue"/>
            <w:tcBorders>
              <w:left w:val="single" w:color="auto" w:sz="4" w:space="0"/>
              <w:bottom w:val="single" w:color="auto" w:sz="4" w:space="0"/>
              <w:right w:val="single" w:color="auto" w:sz="4" w:space="0"/>
            </w:tcBorders>
            <w:vAlign w:val="center"/>
          </w:tcPr>
          <w:p w14:paraId="3C06C334">
            <w:pPr>
              <w:jc w:val="center"/>
              <w:rPr>
                <w:sz w:val="21"/>
                <w:szCs w:val="21"/>
              </w:rPr>
            </w:pPr>
          </w:p>
        </w:tc>
        <w:tc>
          <w:tcPr>
            <w:tcW w:w="1134" w:type="dxa"/>
            <w:vMerge w:val="continue"/>
            <w:tcBorders>
              <w:left w:val="single" w:color="auto" w:sz="4" w:space="0"/>
              <w:bottom w:val="single" w:color="auto" w:sz="4" w:space="0"/>
              <w:right w:val="single" w:color="auto" w:sz="4" w:space="0"/>
            </w:tcBorders>
            <w:vAlign w:val="center"/>
          </w:tcPr>
          <w:p w14:paraId="6A7B6E64">
            <w:pPr>
              <w:rPr>
                <w:sz w:val="21"/>
                <w:szCs w:val="21"/>
              </w:rPr>
            </w:pPr>
          </w:p>
        </w:tc>
        <w:tc>
          <w:tcPr>
            <w:tcW w:w="3572" w:type="dxa"/>
            <w:tcBorders>
              <w:top w:val="single" w:color="auto" w:sz="4" w:space="0"/>
              <w:left w:val="single" w:color="auto" w:sz="4" w:space="0"/>
              <w:bottom w:val="single" w:color="auto" w:sz="4" w:space="0"/>
              <w:right w:val="single" w:color="auto" w:sz="4" w:space="0"/>
            </w:tcBorders>
            <w:vAlign w:val="center"/>
          </w:tcPr>
          <w:p w14:paraId="1C46DDA1">
            <w:pPr>
              <w:rPr>
                <w:sz w:val="21"/>
                <w:szCs w:val="21"/>
              </w:rPr>
            </w:pPr>
            <w:r>
              <w:rPr>
                <w:sz w:val="21"/>
                <w:szCs w:val="21"/>
              </w:rPr>
              <w:t>一般</w:t>
            </w:r>
          </w:p>
        </w:tc>
        <w:tc>
          <w:tcPr>
            <w:tcW w:w="1212" w:type="dxa"/>
            <w:tcBorders>
              <w:top w:val="single" w:color="auto" w:sz="4" w:space="0"/>
              <w:left w:val="single" w:color="auto" w:sz="4" w:space="0"/>
              <w:bottom w:val="single" w:color="auto" w:sz="4" w:space="0"/>
              <w:right w:val="single" w:color="auto" w:sz="8" w:space="0"/>
            </w:tcBorders>
            <w:vAlign w:val="center"/>
          </w:tcPr>
          <w:p w14:paraId="65B12128">
            <w:pPr>
              <w:jc w:val="center"/>
              <w:rPr>
                <w:sz w:val="21"/>
                <w:szCs w:val="21"/>
              </w:rPr>
            </w:pPr>
            <w:r>
              <w:rPr>
                <w:rFonts w:hint="eastAsia"/>
                <w:sz w:val="21"/>
                <w:szCs w:val="21"/>
              </w:rPr>
              <w:t>3.0</w:t>
            </w:r>
          </w:p>
        </w:tc>
      </w:tr>
      <w:tr w14:paraId="220FA87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EF6CFAE">
            <w:pPr>
              <w:jc w:val="center"/>
              <w:rPr>
                <w:sz w:val="21"/>
                <w:szCs w:val="21"/>
              </w:rPr>
            </w:pPr>
          </w:p>
        </w:tc>
        <w:tc>
          <w:tcPr>
            <w:tcW w:w="1701" w:type="dxa"/>
            <w:vMerge w:val="continue"/>
            <w:tcBorders>
              <w:left w:val="single" w:color="auto" w:sz="4" w:space="0"/>
              <w:right w:val="single" w:color="auto" w:sz="4" w:space="0"/>
            </w:tcBorders>
            <w:vAlign w:val="center"/>
          </w:tcPr>
          <w:p w14:paraId="5D8A4FC7">
            <w:pPr>
              <w:jc w:val="center"/>
              <w:rPr>
                <w:sz w:val="21"/>
                <w:szCs w:val="21"/>
              </w:rPr>
            </w:pPr>
          </w:p>
        </w:tc>
        <w:tc>
          <w:tcPr>
            <w:tcW w:w="1418" w:type="dxa"/>
            <w:vMerge w:val="restart"/>
            <w:tcBorders>
              <w:top w:val="single" w:color="auto" w:sz="4" w:space="0"/>
              <w:left w:val="single" w:color="auto" w:sz="4" w:space="0"/>
              <w:right w:val="single" w:color="auto" w:sz="4" w:space="0"/>
            </w:tcBorders>
            <w:vAlign w:val="center"/>
          </w:tcPr>
          <w:p w14:paraId="1E237204">
            <w:pPr>
              <w:jc w:val="center"/>
              <w:rPr>
                <w:sz w:val="21"/>
                <w:szCs w:val="21"/>
              </w:rPr>
            </w:pPr>
            <w:r>
              <w:rPr>
                <w:rFonts w:hint="eastAsia"/>
                <w:sz w:val="21"/>
                <w:szCs w:val="21"/>
                <w:lang w:bidi="en-US"/>
              </w:rPr>
              <w:t>质量管理体系及保证措施</w:t>
            </w:r>
          </w:p>
        </w:tc>
        <w:tc>
          <w:tcPr>
            <w:tcW w:w="1134" w:type="dxa"/>
            <w:vMerge w:val="restart"/>
            <w:tcBorders>
              <w:top w:val="single" w:color="auto" w:sz="4" w:space="0"/>
              <w:left w:val="single" w:color="auto" w:sz="4" w:space="0"/>
              <w:right w:val="single" w:color="auto" w:sz="4" w:space="0"/>
            </w:tcBorders>
            <w:vAlign w:val="center"/>
          </w:tcPr>
          <w:p w14:paraId="50D9CC6F">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4E849504">
            <w:pPr>
              <w:rPr>
                <w:sz w:val="21"/>
                <w:szCs w:val="21"/>
              </w:rPr>
            </w:pPr>
            <w:r>
              <w:rPr>
                <w:rFonts w:hint="eastAsia"/>
                <w:sz w:val="21"/>
                <w:szCs w:val="21"/>
                <w:lang w:bidi="en-US"/>
              </w:rPr>
              <w:t>体系措施完整严密，且相应措施体系完善得当</w:t>
            </w:r>
          </w:p>
        </w:tc>
        <w:tc>
          <w:tcPr>
            <w:tcW w:w="1212" w:type="dxa"/>
            <w:tcBorders>
              <w:top w:val="single" w:color="auto" w:sz="4" w:space="0"/>
              <w:left w:val="single" w:color="auto" w:sz="4" w:space="0"/>
              <w:bottom w:val="single" w:color="auto" w:sz="4" w:space="0"/>
              <w:right w:val="single" w:color="auto" w:sz="8" w:space="0"/>
            </w:tcBorders>
            <w:vAlign w:val="center"/>
          </w:tcPr>
          <w:p w14:paraId="4F559A5C">
            <w:pPr>
              <w:jc w:val="center"/>
              <w:rPr>
                <w:sz w:val="21"/>
                <w:szCs w:val="21"/>
              </w:rPr>
            </w:pPr>
            <w:r>
              <w:rPr>
                <w:rFonts w:hint="eastAsia"/>
                <w:sz w:val="21"/>
                <w:szCs w:val="21"/>
              </w:rPr>
              <w:t>4.0-5.0</w:t>
            </w:r>
          </w:p>
        </w:tc>
      </w:tr>
      <w:tr w14:paraId="60740537">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4DBDDBE7">
            <w:pPr>
              <w:jc w:val="center"/>
              <w:rPr>
                <w:sz w:val="21"/>
                <w:szCs w:val="21"/>
              </w:rPr>
            </w:pPr>
          </w:p>
        </w:tc>
        <w:tc>
          <w:tcPr>
            <w:tcW w:w="1701" w:type="dxa"/>
            <w:vMerge w:val="continue"/>
            <w:tcBorders>
              <w:left w:val="single" w:color="auto" w:sz="4" w:space="0"/>
              <w:right w:val="single" w:color="auto" w:sz="4" w:space="0"/>
            </w:tcBorders>
            <w:vAlign w:val="center"/>
          </w:tcPr>
          <w:p w14:paraId="07AA197E">
            <w:pPr>
              <w:jc w:val="center"/>
              <w:rPr>
                <w:sz w:val="21"/>
                <w:szCs w:val="21"/>
              </w:rPr>
            </w:pPr>
          </w:p>
        </w:tc>
        <w:tc>
          <w:tcPr>
            <w:tcW w:w="1418" w:type="dxa"/>
            <w:vMerge w:val="continue"/>
            <w:tcBorders>
              <w:left w:val="single" w:color="auto" w:sz="4" w:space="0"/>
              <w:right w:val="single" w:color="auto" w:sz="4" w:space="0"/>
            </w:tcBorders>
            <w:vAlign w:val="center"/>
          </w:tcPr>
          <w:p w14:paraId="23A0B1D2">
            <w:pPr>
              <w:jc w:val="center"/>
              <w:rPr>
                <w:sz w:val="21"/>
                <w:szCs w:val="21"/>
              </w:rPr>
            </w:pPr>
          </w:p>
        </w:tc>
        <w:tc>
          <w:tcPr>
            <w:tcW w:w="1134" w:type="dxa"/>
            <w:vMerge w:val="continue"/>
            <w:tcBorders>
              <w:left w:val="single" w:color="auto" w:sz="4" w:space="0"/>
              <w:right w:val="single" w:color="auto" w:sz="4" w:space="0"/>
            </w:tcBorders>
            <w:vAlign w:val="center"/>
          </w:tcPr>
          <w:p w14:paraId="66D27DDC">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34334015">
            <w:pPr>
              <w:rPr>
                <w:sz w:val="21"/>
                <w:szCs w:val="21"/>
              </w:rPr>
            </w:pPr>
            <w:r>
              <w:rPr>
                <w:rFonts w:hint="eastAsia"/>
                <w:sz w:val="21"/>
                <w:szCs w:val="21"/>
                <w:lang w:bidi="en-US"/>
              </w:rPr>
              <w:t>体系措施较完善</w:t>
            </w:r>
          </w:p>
        </w:tc>
        <w:tc>
          <w:tcPr>
            <w:tcW w:w="1212" w:type="dxa"/>
            <w:tcBorders>
              <w:top w:val="single" w:color="auto" w:sz="4" w:space="0"/>
              <w:left w:val="single" w:color="auto" w:sz="4" w:space="0"/>
              <w:bottom w:val="single" w:color="auto" w:sz="4" w:space="0"/>
              <w:right w:val="single" w:color="auto" w:sz="8" w:space="0"/>
            </w:tcBorders>
            <w:vAlign w:val="center"/>
          </w:tcPr>
          <w:p w14:paraId="2D2E3355">
            <w:pPr>
              <w:jc w:val="center"/>
              <w:rPr>
                <w:sz w:val="21"/>
                <w:szCs w:val="21"/>
              </w:rPr>
            </w:pPr>
            <w:r>
              <w:rPr>
                <w:rFonts w:hint="eastAsia"/>
                <w:sz w:val="21"/>
                <w:szCs w:val="21"/>
              </w:rPr>
              <w:t>3.0-4.0</w:t>
            </w:r>
          </w:p>
        </w:tc>
      </w:tr>
      <w:tr w14:paraId="0B9F6385">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DF8F7CE">
            <w:pPr>
              <w:jc w:val="center"/>
              <w:rPr>
                <w:sz w:val="21"/>
                <w:szCs w:val="21"/>
              </w:rPr>
            </w:pPr>
          </w:p>
        </w:tc>
        <w:tc>
          <w:tcPr>
            <w:tcW w:w="1701" w:type="dxa"/>
            <w:vMerge w:val="continue"/>
            <w:tcBorders>
              <w:left w:val="single" w:color="auto" w:sz="4" w:space="0"/>
              <w:right w:val="single" w:color="auto" w:sz="4" w:space="0"/>
            </w:tcBorders>
            <w:vAlign w:val="center"/>
          </w:tcPr>
          <w:p w14:paraId="33477819">
            <w:pPr>
              <w:jc w:val="center"/>
              <w:rPr>
                <w:sz w:val="21"/>
                <w:szCs w:val="21"/>
              </w:rPr>
            </w:pPr>
          </w:p>
        </w:tc>
        <w:tc>
          <w:tcPr>
            <w:tcW w:w="1418" w:type="dxa"/>
            <w:vMerge w:val="continue"/>
            <w:tcBorders>
              <w:left w:val="single" w:color="auto" w:sz="4" w:space="0"/>
              <w:bottom w:val="single" w:color="auto" w:sz="4" w:space="0"/>
              <w:right w:val="single" w:color="auto" w:sz="4" w:space="0"/>
            </w:tcBorders>
            <w:vAlign w:val="center"/>
          </w:tcPr>
          <w:p w14:paraId="57D71DE3">
            <w:pPr>
              <w:jc w:val="center"/>
              <w:rPr>
                <w:sz w:val="21"/>
                <w:szCs w:val="21"/>
              </w:rPr>
            </w:pPr>
          </w:p>
        </w:tc>
        <w:tc>
          <w:tcPr>
            <w:tcW w:w="1134" w:type="dxa"/>
            <w:vMerge w:val="continue"/>
            <w:tcBorders>
              <w:left w:val="single" w:color="auto" w:sz="4" w:space="0"/>
              <w:bottom w:val="single" w:color="auto" w:sz="4" w:space="0"/>
              <w:right w:val="single" w:color="auto" w:sz="4" w:space="0"/>
            </w:tcBorders>
            <w:vAlign w:val="center"/>
          </w:tcPr>
          <w:p w14:paraId="72A28041">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5F1F21F1">
            <w:pPr>
              <w:rPr>
                <w:sz w:val="21"/>
                <w:szCs w:val="21"/>
              </w:rPr>
            </w:pPr>
            <w:r>
              <w:rPr>
                <w:rFonts w:hint="eastAsia"/>
                <w:sz w:val="21"/>
                <w:szCs w:val="21"/>
                <w:lang w:bidi="en-US"/>
              </w:rPr>
              <w:t>体系措施一般</w:t>
            </w:r>
          </w:p>
        </w:tc>
        <w:tc>
          <w:tcPr>
            <w:tcW w:w="1212" w:type="dxa"/>
            <w:tcBorders>
              <w:top w:val="single" w:color="auto" w:sz="4" w:space="0"/>
              <w:left w:val="single" w:color="auto" w:sz="4" w:space="0"/>
              <w:bottom w:val="single" w:color="auto" w:sz="4" w:space="0"/>
              <w:right w:val="single" w:color="auto" w:sz="8" w:space="0"/>
            </w:tcBorders>
            <w:vAlign w:val="center"/>
          </w:tcPr>
          <w:p w14:paraId="4865FCC8">
            <w:pPr>
              <w:jc w:val="center"/>
              <w:rPr>
                <w:sz w:val="21"/>
                <w:szCs w:val="21"/>
              </w:rPr>
            </w:pPr>
            <w:r>
              <w:rPr>
                <w:rFonts w:hint="eastAsia"/>
                <w:sz w:val="21"/>
                <w:szCs w:val="21"/>
              </w:rPr>
              <w:t>3.0</w:t>
            </w:r>
          </w:p>
        </w:tc>
      </w:tr>
      <w:tr w14:paraId="3B18709E">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CB99724">
            <w:pPr>
              <w:jc w:val="center"/>
              <w:rPr>
                <w:sz w:val="21"/>
                <w:szCs w:val="21"/>
              </w:rPr>
            </w:pPr>
          </w:p>
        </w:tc>
        <w:tc>
          <w:tcPr>
            <w:tcW w:w="1701" w:type="dxa"/>
            <w:vMerge w:val="continue"/>
            <w:tcBorders>
              <w:left w:val="single" w:color="auto" w:sz="4" w:space="0"/>
              <w:right w:val="single" w:color="auto" w:sz="4" w:space="0"/>
            </w:tcBorders>
            <w:vAlign w:val="center"/>
          </w:tcPr>
          <w:p w14:paraId="76E83843">
            <w:pPr>
              <w:jc w:val="center"/>
              <w:rPr>
                <w:sz w:val="21"/>
                <w:szCs w:val="21"/>
              </w:rPr>
            </w:pPr>
          </w:p>
        </w:tc>
        <w:tc>
          <w:tcPr>
            <w:tcW w:w="1418" w:type="dxa"/>
            <w:vMerge w:val="restart"/>
            <w:tcBorders>
              <w:top w:val="single" w:color="auto" w:sz="4" w:space="0"/>
              <w:left w:val="nil"/>
              <w:right w:val="single" w:color="auto" w:sz="8" w:space="0"/>
            </w:tcBorders>
            <w:vAlign w:val="center"/>
          </w:tcPr>
          <w:p w14:paraId="45C349AA">
            <w:pPr>
              <w:jc w:val="center"/>
              <w:rPr>
                <w:sz w:val="21"/>
                <w:szCs w:val="21"/>
              </w:rPr>
            </w:pPr>
            <w:r>
              <w:rPr>
                <w:rFonts w:hint="eastAsia"/>
                <w:sz w:val="21"/>
                <w:szCs w:val="21"/>
                <w:lang w:bidi="en-US"/>
              </w:rPr>
              <w:t>安全生产管理体系及保证措施</w:t>
            </w:r>
          </w:p>
        </w:tc>
        <w:tc>
          <w:tcPr>
            <w:tcW w:w="1134" w:type="dxa"/>
            <w:vMerge w:val="restart"/>
            <w:tcBorders>
              <w:top w:val="single" w:color="auto" w:sz="4" w:space="0"/>
              <w:left w:val="single" w:color="auto" w:sz="8" w:space="0"/>
              <w:right w:val="single" w:color="auto" w:sz="4" w:space="0"/>
            </w:tcBorders>
            <w:vAlign w:val="center"/>
          </w:tcPr>
          <w:p w14:paraId="6FEDEB2D">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1564172F">
            <w:pPr>
              <w:rPr>
                <w:sz w:val="21"/>
                <w:szCs w:val="21"/>
              </w:rPr>
            </w:pPr>
            <w:r>
              <w:rPr>
                <w:rFonts w:hint="eastAsia"/>
                <w:sz w:val="21"/>
                <w:szCs w:val="21"/>
                <w:lang w:bidi="en-US"/>
              </w:rPr>
              <w:t>体系措施完整严密，且相应措施体系完善全面得当</w:t>
            </w:r>
          </w:p>
        </w:tc>
        <w:tc>
          <w:tcPr>
            <w:tcW w:w="1212" w:type="dxa"/>
            <w:tcBorders>
              <w:top w:val="single" w:color="auto" w:sz="4" w:space="0"/>
              <w:left w:val="single" w:color="auto" w:sz="4" w:space="0"/>
              <w:bottom w:val="single" w:color="auto" w:sz="4" w:space="0"/>
              <w:right w:val="single" w:color="auto" w:sz="8" w:space="0"/>
            </w:tcBorders>
            <w:vAlign w:val="center"/>
          </w:tcPr>
          <w:p w14:paraId="3BDA270A">
            <w:pPr>
              <w:jc w:val="center"/>
              <w:rPr>
                <w:sz w:val="21"/>
                <w:szCs w:val="21"/>
              </w:rPr>
            </w:pPr>
            <w:r>
              <w:rPr>
                <w:rFonts w:hint="eastAsia"/>
                <w:sz w:val="21"/>
                <w:szCs w:val="21"/>
              </w:rPr>
              <w:t>4.0-5.0</w:t>
            </w:r>
          </w:p>
        </w:tc>
      </w:tr>
      <w:tr w14:paraId="2E1A61B6">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33A529E7">
            <w:pPr>
              <w:jc w:val="center"/>
              <w:rPr>
                <w:sz w:val="21"/>
                <w:szCs w:val="21"/>
              </w:rPr>
            </w:pPr>
          </w:p>
        </w:tc>
        <w:tc>
          <w:tcPr>
            <w:tcW w:w="1701" w:type="dxa"/>
            <w:vMerge w:val="continue"/>
            <w:tcBorders>
              <w:left w:val="single" w:color="auto" w:sz="4" w:space="0"/>
              <w:right w:val="single" w:color="auto" w:sz="4" w:space="0"/>
            </w:tcBorders>
            <w:vAlign w:val="center"/>
          </w:tcPr>
          <w:p w14:paraId="624547DA">
            <w:pPr>
              <w:jc w:val="center"/>
              <w:rPr>
                <w:sz w:val="21"/>
                <w:szCs w:val="21"/>
              </w:rPr>
            </w:pPr>
          </w:p>
        </w:tc>
        <w:tc>
          <w:tcPr>
            <w:tcW w:w="1418" w:type="dxa"/>
            <w:vMerge w:val="continue"/>
            <w:tcBorders>
              <w:left w:val="nil"/>
              <w:right w:val="single" w:color="auto" w:sz="8" w:space="0"/>
            </w:tcBorders>
            <w:vAlign w:val="center"/>
          </w:tcPr>
          <w:p w14:paraId="16E2543C">
            <w:pPr>
              <w:jc w:val="center"/>
              <w:rPr>
                <w:sz w:val="21"/>
                <w:szCs w:val="21"/>
              </w:rPr>
            </w:pPr>
          </w:p>
        </w:tc>
        <w:tc>
          <w:tcPr>
            <w:tcW w:w="1134" w:type="dxa"/>
            <w:vMerge w:val="continue"/>
            <w:tcBorders>
              <w:left w:val="single" w:color="auto" w:sz="8" w:space="0"/>
              <w:right w:val="single" w:color="auto" w:sz="4" w:space="0"/>
            </w:tcBorders>
            <w:vAlign w:val="center"/>
          </w:tcPr>
          <w:p w14:paraId="03C633B4">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65BA32D1">
            <w:pPr>
              <w:rPr>
                <w:sz w:val="21"/>
                <w:szCs w:val="21"/>
              </w:rPr>
            </w:pPr>
            <w:r>
              <w:rPr>
                <w:rFonts w:hint="eastAsia"/>
                <w:sz w:val="21"/>
                <w:szCs w:val="21"/>
                <w:lang w:bidi="en-US"/>
              </w:rPr>
              <w:t>体系措施较完善</w:t>
            </w:r>
          </w:p>
        </w:tc>
        <w:tc>
          <w:tcPr>
            <w:tcW w:w="1212" w:type="dxa"/>
            <w:tcBorders>
              <w:top w:val="single" w:color="auto" w:sz="4" w:space="0"/>
              <w:left w:val="single" w:color="auto" w:sz="4" w:space="0"/>
              <w:bottom w:val="single" w:color="auto" w:sz="4" w:space="0"/>
              <w:right w:val="single" w:color="auto" w:sz="8" w:space="0"/>
            </w:tcBorders>
            <w:vAlign w:val="center"/>
          </w:tcPr>
          <w:p w14:paraId="333C5F22">
            <w:pPr>
              <w:jc w:val="center"/>
              <w:rPr>
                <w:sz w:val="21"/>
                <w:szCs w:val="21"/>
              </w:rPr>
            </w:pPr>
            <w:r>
              <w:rPr>
                <w:rFonts w:hint="eastAsia"/>
                <w:sz w:val="21"/>
                <w:szCs w:val="21"/>
              </w:rPr>
              <w:t>3.0-4.0</w:t>
            </w:r>
          </w:p>
        </w:tc>
      </w:tr>
      <w:tr w14:paraId="7020B34E">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45234C19">
            <w:pPr>
              <w:jc w:val="center"/>
              <w:rPr>
                <w:sz w:val="21"/>
                <w:szCs w:val="21"/>
              </w:rPr>
            </w:pPr>
          </w:p>
        </w:tc>
        <w:tc>
          <w:tcPr>
            <w:tcW w:w="1701" w:type="dxa"/>
            <w:vMerge w:val="continue"/>
            <w:tcBorders>
              <w:left w:val="single" w:color="auto" w:sz="4" w:space="0"/>
              <w:right w:val="single" w:color="auto" w:sz="4" w:space="0"/>
            </w:tcBorders>
            <w:vAlign w:val="center"/>
          </w:tcPr>
          <w:p w14:paraId="762B31C5">
            <w:pPr>
              <w:jc w:val="center"/>
              <w:rPr>
                <w:sz w:val="21"/>
                <w:szCs w:val="21"/>
              </w:rPr>
            </w:pPr>
          </w:p>
        </w:tc>
        <w:tc>
          <w:tcPr>
            <w:tcW w:w="1418" w:type="dxa"/>
            <w:vMerge w:val="continue"/>
            <w:tcBorders>
              <w:left w:val="nil"/>
              <w:bottom w:val="single" w:color="auto" w:sz="4" w:space="0"/>
              <w:right w:val="single" w:color="auto" w:sz="8" w:space="0"/>
            </w:tcBorders>
            <w:vAlign w:val="center"/>
          </w:tcPr>
          <w:p w14:paraId="722158D6">
            <w:pPr>
              <w:jc w:val="center"/>
              <w:rPr>
                <w:sz w:val="21"/>
                <w:szCs w:val="21"/>
              </w:rPr>
            </w:pPr>
          </w:p>
        </w:tc>
        <w:tc>
          <w:tcPr>
            <w:tcW w:w="1134" w:type="dxa"/>
            <w:vMerge w:val="continue"/>
            <w:tcBorders>
              <w:left w:val="single" w:color="auto" w:sz="8" w:space="0"/>
              <w:bottom w:val="single" w:color="auto" w:sz="4" w:space="0"/>
              <w:right w:val="single" w:color="auto" w:sz="4" w:space="0"/>
            </w:tcBorders>
            <w:vAlign w:val="center"/>
          </w:tcPr>
          <w:p w14:paraId="0459F6C4">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0A5C7BC6">
            <w:pPr>
              <w:rPr>
                <w:sz w:val="21"/>
                <w:szCs w:val="21"/>
              </w:rPr>
            </w:pPr>
            <w:r>
              <w:rPr>
                <w:rFonts w:hint="eastAsia"/>
                <w:sz w:val="21"/>
                <w:szCs w:val="21"/>
                <w:lang w:bidi="en-US"/>
              </w:rPr>
              <w:t>体系措施一般</w:t>
            </w:r>
          </w:p>
        </w:tc>
        <w:tc>
          <w:tcPr>
            <w:tcW w:w="1212" w:type="dxa"/>
            <w:tcBorders>
              <w:top w:val="single" w:color="auto" w:sz="4" w:space="0"/>
              <w:left w:val="single" w:color="auto" w:sz="4" w:space="0"/>
              <w:bottom w:val="single" w:color="auto" w:sz="4" w:space="0"/>
              <w:right w:val="single" w:color="auto" w:sz="8" w:space="0"/>
            </w:tcBorders>
            <w:vAlign w:val="center"/>
          </w:tcPr>
          <w:p w14:paraId="190501BF">
            <w:pPr>
              <w:jc w:val="center"/>
              <w:rPr>
                <w:sz w:val="21"/>
                <w:szCs w:val="21"/>
              </w:rPr>
            </w:pPr>
            <w:r>
              <w:rPr>
                <w:rFonts w:hint="eastAsia"/>
                <w:sz w:val="21"/>
                <w:szCs w:val="21"/>
              </w:rPr>
              <w:t>3.0</w:t>
            </w:r>
          </w:p>
        </w:tc>
      </w:tr>
      <w:tr w14:paraId="617B49E3">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318BBD02">
            <w:pPr>
              <w:jc w:val="center"/>
              <w:rPr>
                <w:sz w:val="21"/>
                <w:szCs w:val="21"/>
              </w:rPr>
            </w:pPr>
          </w:p>
        </w:tc>
        <w:tc>
          <w:tcPr>
            <w:tcW w:w="1701" w:type="dxa"/>
            <w:vMerge w:val="continue"/>
            <w:tcBorders>
              <w:left w:val="single" w:color="auto" w:sz="4" w:space="0"/>
              <w:right w:val="single" w:color="auto" w:sz="4" w:space="0"/>
            </w:tcBorders>
            <w:vAlign w:val="center"/>
          </w:tcPr>
          <w:p w14:paraId="58DED15D">
            <w:pPr>
              <w:jc w:val="center"/>
              <w:rPr>
                <w:sz w:val="21"/>
                <w:szCs w:val="21"/>
              </w:rPr>
            </w:pPr>
          </w:p>
        </w:tc>
        <w:tc>
          <w:tcPr>
            <w:tcW w:w="1418" w:type="dxa"/>
            <w:vMerge w:val="restart"/>
            <w:tcBorders>
              <w:top w:val="single" w:color="auto" w:sz="4" w:space="0"/>
              <w:left w:val="nil"/>
              <w:right w:val="single" w:color="auto" w:sz="8" w:space="0"/>
            </w:tcBorders>
            <w:vAlign w:val="center"/>
          </w:tcPr>
          <w:p w14:paraId="7712BC3E">
            <w:pPr>
              <w:jc w:val="center"/>
              <w:rPr>
                <w:sz w:val="21"/>
                <w:szCs w:val="21"/>
              </w:rPr>
            </w:pPr>
            <w:r>
              <w:rPr>
                <w:rFonts w:hint="eastAsia"/>
                <w:sz w:val="21"/>
                <w:szCs w:val="21"/>
              </w:rPr>
              <w:t>环境保护、水土保持、文明施工保证措施</w:t>
            </w:r>
          </w:p>
        </w:tc>
        <w:tc>
          <w:tcPr>
            <w:tcW w:w="1134" w:type="dxa"/>
            <w:vMerge w:val="restart"/>
            <w:tcBorders>
              <w:top w:val="single" w:color="auto" w:sz="4" w:space="0"/>
              <w:left w:val="single" w:color="auto" w:sz="8" w:space="0"/>
              <w:right w:val="single" w:color="auto" w:sz="4" w:space="0"/>
            </w:tcBorders>
            <w:vAlign w:val="center"/>
          </w:tcPr>
          <w:p w14:paraId="24CC8019">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545B165F">
            <w:pPr>
              <w:rPr>
                <w:sz w:val="21"/>
                <w:szCs w:val="21"/>
              </w:rPr>
            </w:pPr>
            <w:r>
              <w:rPr>
                <w:rFonts w:hint="eastAsia"/>
                <w:sz w:val="21"/>
                <w:szCs w:val="21"/>
                <w:lang w:bidi="en-US"/>
              </w:rPr>
              <w:t>保证措施完整严密，且相应措施体系完善全面得当</w:t>
            </w:r>
          </w:p>
        </w:tc>
        <w:tc>
          <w:tcPr>
            <w:tcW w:w="1212" w:type="dxa"/>
            <w:tcBorders>
              <w:top w:val="single" w:color="auto" w:sz="4" w:space="0"/>
              <w:left w:val="single" w:color="auto" w:sz="4" w:space="0"/>
              <w:bottom w:val="single" w:color="auto" w:sz="4" w:space="0"/>
              <w:right w:val="single" w:color="auto" w:sz="8" w:space="0"/>
            </w:tcBorders>
            <w:vAlign w:val="center"/>
          </w:tcPr>
          <w:p w14:paraId="45762BCE">
            <w:pPr>
              <w:jc w:val="center"/>
              <w:rPr>
                <w:sz w:val="21"/>
                <w:szCs w:val="21"/>
              </w:rPr>
            </w:pPr>
            <w:r>
              <w:rPr>
                <w:rFonts w:hint="eastAsia"/>
                <w:sz w:val="21"/>
                <w:szCs w:val="21"/>
              </w:rPr>
              <w:t>4.0-5.0</w:t>
            </w:r>
          </w:p>
        </w:tc>
      </w:tr>
      <w:tr w14:paraId="015877C0">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1CE7151">
            <w:pPr>
              <w:jc w:val="center"/>
              <w:rPr>
                <w:sz w:val="21"/>
                <w:szCs w:val="21"/>
              </w:rPr>
            </w:pPr>
          </w:p>
        </w:tc>
        <w:tc>
          <w:tcPr>
            <w:tcW w:w="1701" w:type="dxa"/>
            <w:vMerge w:val="continue"/>
            <w:tcBorders>
              <w:left w:val="single" w:color="auto" w:sz="4" w:space="0"/>
              <w:right w:val="single" w:color="auto" w:sz="4" w:space="0"/>
            </w:tcBorders>
            <w:vAlign w:val="center"/>
          </w:tcPr>
          <w:p w14:paraId="77DE00D2">
            <w:pPr>
              <w:jc w:val="center"/>
              <w:rPr>
                <w:sz w:val="21"/>
                <w:szCs w:val="21"/>
              </w:rPr>
            </w:pPr>
          </w:p>
        </w:tc>
        <w:tc>
          <w:tcPr>
            <w:tcW w:w="1418" w:type="dxa"/>
            <w:vMerge w:val="continue"/>
            <w:tcBorders>
              <w:left w:val="nil"/>
              <w:right w:val="single" w:color="auto" w:sz="8" w:space="0"/>
            </w:tcBorders>
            <w:vAlign w:val="center"/>
          </w:tcPr>
          <w:p w14:paraId="1AD274AC">
            <w:pPr>
              <w:jc w:val="center"/>
              <w:rPr>
                <w:sz w:val="21"/>
                <w:szCs w:val="21"/>
              </w:rPr>
            </w:pPr>
          </w:p>
        </w:tc>
        <w:tc>
          <w:tcPr>
            <w:tcW w:w="1134" w:type="dxa"/>
            <w:vMerge w:val="continue"/>
            <w:tcBorders>
              <w:left w:val="single" w:color="auto" w:sz="8" w:space="0"/>
              <w:right w:val="single" w:color="auto" w:sz="4" w:space="0"/>
            </w:tcBorders>
            <w:vAlign w:val="center"/>
          </w:tcPr>
          <w:p w14:paraId="16D2B20B">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2C051562">
            <w:pPr>
              <w:rPr>
                <w:sz w:val="21"/>
                <w:szCs w:val="21"/>
              </w:rPr>
            </w:pPr>
            <w:r>
              <w:rPr>
                <w:rFonts w:hint="eastAsia"/>
                <w:sz w:val="21"/>
                <w:szCs w:val="21"/>
                <w:lang w:bidi="en-US"/>
              </w:rPr>
              <w:t>保证措施较完善</w:t>
            </w:r>
          </w:p>
        </w:tc>
        <w:tc>
          <w:tcPr>
            <w:tcW w:w="1212" w:type="dxa"/>
            <w:tcBorders>
              <w:top w:val="single" w:color="auto" w:sz="4" w:space="0"/>
              <w:left w:val="single" w:color="auto" w:sz="4" w:space="0"/>
              <w:bottom w:val="single" w:color="auto" w:sz="4" w:space="0"/>
              <w:right w:val="single" w:color="auto" w:sz="8" w:space="0"/>
            </w:tcBorders>
            <w:vAlign w:val="center"/>
          </w:tcPr>
          <w:p w14:paraId="5A120BB8">
            <w:pPr>
              <w:jc w:val="center"/>
              <w:rPr>
                <w:sz w:val="21"/>
                <w:szCs w:val="21"/>
              </w:rPr>
            </w:pPr>
            <w:r>
              <w:rPr>
                <w:rFonts w:hint="eastAsia"/>
                <w:sz w:val="21"/>
                <w:szCs w:val="21"/>
              </w:rPr>
              <w:t>3.0-4.0</w:t>
            </w:r>
          </w:p>
        </w:tc>
      </w:tr>
      <w:tr w14:paraId="372EE5BB">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39F6B56D">
            <w:pPr>
              <w:jc w:val="center"/>
              <w:rPr>
                <w:sz w:val="21"/>
                <w:szCs w:val="21"/>
              </w:rPr>
            </w:pPr>
          </w:p>
        </w:tc>
        <w:tc>
          <w:tcPr>
            <w:tcW w:w="1701" w:type="dxa"/>
            <w:vMerge w:val="continue"/>
            <w:tcBorders>
              <w:left w:val="single" w:color="auto" w:sz="4" w:space="0"/>
              <w:right w:val="single" w:color="auto" w:sz="4" w:space="0"/>
            </w:tcBorders>
            <w:vAlign w:val="center"/>
          </w:tcPr>
          <w:p w14:paraId="489AE4AD">
            <w:pPr>
              <w:jc w:val="center"/>
              <w:rPr>
                <w:sz w:val="21"/>
                <w:szCs w:val="21"/>
              </w:rPr>
            </w:pPr>
          </w:p>
        </w:tc>
        <w:tc>
          <w:tcPr>
            <w:tcW w:w="1418" w:type="dxa"/>
            <w:vMerge w:val="continue"/>
            <w:tcBorders>
              <w:left w:val="nil"/>
              <w:bottom w:val="single" w:color="auto" w:sz="4" w:space="0"/>
              <w:right w:val="single" w:color="auto" w:sz="8" w:space="0"/>
            </w:tcBorders>
            <w:vAlign w:val="center"/>
          </w:tcPr>
          <w:p w14:paraId="79438A20">
            <w:pPr>
              <w:jc w:val="center"/>
              <w:rPr>
                <w:sz w:val="21"/>
                <w:szCs w:val="21"/>
              </w:rPr>
            </w:pPr>
          </w:p>
        </w:tc>
        <w:tc>
          <w:tcPr>
            <w:tcW w:w="1134" w:type="dxa"/>
            <w:vMerge w:val="continue"/>
            <w:tcBorders>
              <w:left w:val="single" w:color="auto" w:sz="8" w:space="0"/>
              <w:bottom w:val="single" w:color="auto" w:sz="4" w:space="0"/>
              <w:right w:val="single" w:color="auto" w:sz="4" w:space="0"/>
            </w:tcBorders>
            <w:vAlign w:val="center"/>
          </w:tcPr>
          <w:p w14:paraId="2F16E031">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1BA3874D">
            <w:pPr>
              <w:rPr>
                <w:sz w:val="21"/>
                <w:szCs w:val="21"/>
              </w:rPr>
            </w:pPr>
            <w:r>
              <w:rPr>
                <w:rFonts w:hint="eastAsia"/>
                <w:sz w:val="21"/>
                <w:szCs w:val="21"/>
                <w:lang w:bidi="en-US"/>
              </w:rPr>
              <w:t>保证措施一般</w:t>
            </w:r>
          </w:p>
        </w:tc>
        <w:tc>
          <w:tcPr>
            <w:tcW w:w="1212" w:type="dxa"/>
            <w:tcBorders>
              <w:top w:val="single" w:color="auto" w:sz="4" w:space="0"/>
              <w:left w:val="single" w:color="auto" w:sz="4" w:space="0"/>
              <w:bottom w:val="single" w:color="auto" w:sz="4" w:space="0"/>
              <w:right w:val="single" w:color="auto" w:sz="8" w:space="0"/>
            </w:tcBorders>
            <w:vAlign w:val="center"/>
          </w:tcPr>
          <w:p w14:paraId="6B8A6418">
            <w:pPr>
              <w:jc w:val="center"/>
              <w:rPr>
                <w:sz w:val="21"/>
                <w:szCs w:val="21"/>
              </w:rPr>
            </w:pPr>
            <w:r>
              <w:rPr>
                <w:rFonts w:hint="eastAsia"/>
                <w:sz w:val="21"/>
                <w:szCs w:val="21"/>
              </w:rPr>
              <w:t>3.0</w:t>
            </w:r>
          </w:p>
        </w:tc>
      </w:tr>
      <w:tr w14:paraId="731A584D">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1D2FF7E6">
            <w:pPr>
              <w:jc w:val="center"/>
              <w:rPr>
                <w:sz w:val="21"/>
                <w:szCs w:val="21"/>
              </w:rPr>
            </w:pPr>
          </w:p>
        </w:tc>
        <w:tc>
          <w:tcPr>
            <w:tcW w:w="1701" w:type="dxa"/>
            <w:vMerge w:val="continue"/>
            <w:tcBorders>
              <w:left w:val="single" w:color="auto" w:sz="4" w:space="0"/>
              <w:right w:val="single" w:color="auto" w:sz="4" w:space="0"/>
            </w:tcBorders>
            <w:vAlign w:val="center"/>
          </w:tcPr>
          <w:p w14:paraId="5445F889">
            <w:pPr>
              <w:jc w:val="center"/>
              <w:rPr>
                <w:sz w:val="21"/>
                <w:szCs w:val="21"/>
              </w:rPr>
            </w:pPr>
          </w:p>
        </w:tc>
        <w:tc>
          <w:tcPr>
            <w:tcW w:w="1418" w:type="dxa"/>
            <w:vMerge w:val="restart"/>
            <w:tcBorders>
              <w:left w:val="nil"/>
              <w:right w:val="single" w:color="auto" w:sz="8" w:space="0"/>
            </w:tcBorders>
            <w:vAlign w:val="center"/>
          </w:tcPr>
          <w:p w14:paraId="1B5C92A3">
            <w:pPr>
              <w:jc w:val="center"/>
              <w:rPr>
                <w:sz w:val="21"/>
                <w:szCs w:val="21"/>
              </w:rPr>
            </w:pPr>
            <w:r>
              <w:rPr>
                <w:rFonts w:hint="eastAsia"/>
                <w:sz w:val="21"/>
                <w:szCs w:val="21"/>
                <w:lang w:bidi="en-US"/>
              </w:rPr>
              <w:t>项目风险预测与防范及应急预案</w:t>
            </w:r>
          </w:p>
        </w:tc>
        <w:tc>
          <w:tcPr>
            <w:tcW w:w="1134" w:type="dxa"/>
            <w:vMerge w:val="restart"/>
            <w:tcBorders>
              <w:left w:val="single" w:color="auto" w:sz="8" w:space="0"/>
              <w:right w:val="single" w:color="auto" w:sz="4" w:space="0"/>
            </w:tcBorders>
            <w:vAlign w:val="center"/>
          </w:tcPr>
          <w:p w14:paraId="49723C26">
            <w:pPr>
              <w:jc w:val="center"/>
              <w:rPr>
                <w:sz w:val="21"/>
                <w:szCs w:val="21"/>
                <w:lang w:bidi="en-US"/>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3E7A5BD7">
            <w:pPr>
              <w:rPr>
                <w:sz w:val="21"/>
                <w:szCs w:val="21"/>
                <w:lang w:bidi="en-US"/>
              </w:rPr>
            </w:pPr>
            <w:r>
              <w:rPr>
                <w:rFonts w:hint="eastAsia"/>
                <w:sz w:val="21"/>
                <w:szCs w:val="21"/>
                <w:lang w:bidi="en-US"/>
              </w:rPr>
              <w:t>有全面合理的应急预案，且相应预测与防范完善得当</w:t>
            </w:r>
          </w:p>
        </w:tc>
        <w:tc>
          <w:tcPr>
            <w:tcW w:w="1212" w:type="dxa"/>
            <w:tcBorders>
              <w:top w:val="single" w:color="auto" w:sz="4" w:space="0"/>
              <w:left w:val="single" w:color="auto" w:sz="4" w:space="0"/>
              <w:bottom w:val="single" w:color="auto" w:sz="4" w:space="0"/>
              <w:right w:val="single" w:color="auto" w:sz="8" w:space="0"/>
            </w:tcBorders>
            <w:vAlign w:val="center"/>
          </w:tcPr>
          <w:p w14:paraId="77221F5E">
            <w:pPr>
              <w:jc w:val="center"/>
              <w:rPr>
                <w:sz w:val="21"/>
                <w:szCs w:val="21"/>
              </w:rPr>
            </w:pPr>
            <w:r>
              <w:rPr>
                <w:rFonts w:hint="eastAsia"/>
                <w:sz w:val="21"/>
                <w:szCs w:val="21"/>
              </w:rPr>
              <w:t>4.0-5.0</w:t>
            </w:r>
          </w:p>
        </w:tc>
      </w:tr>
      <w:tr w14:paraId="2C4BD601">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54BA6540">
            <w:pPr>
              <w:jc w:val="center"/>
              <w:rPr>
                <w:sz w:val="21"/>
                <w:szCs w:val="21"/>
              </w:rPr>
            </w:pPr>
          </w:p>
        </w:tc>
        <w:tc>
          <w:tcPr>
            <w:tcW w:w="1701" w:type="dxa"/>
            <w:vMerge w:val="continue"/>
            <w:tcBorders>
              <w:left w:val="single" w:color="auto" w:sz="4" w:space="0"/>
              <w:right w:val="single" w:color="auto" w:sz="4" w:space="0"/>
            </w:tcBorders>
            <w:vAlign w:val="center"/>
          </w:tcPr>
          <w:p w14:paraId="0DCB3C05">
            <w:pPr>
              <w:jc w:val="center"/>
              <w:rPr>
                <w:sz w:val="21"/>
                <w:szCs w:val="21"/>
              </w:rPr>
            </w:pPr>
          </w:p>
        </w:tc>
        <w:tc>
          <w:tcPr>
            <w:tcW w:w="1418" w:type="dxa"/>
            <w:vMerge w:val="continue"/>
            <w:tcBorders>
              <w:left w:val="nil"/>
              <w:right w:val="single" w:color="auto" w:sz="8" w:space="0"/>
            </w:tcBorders>
            <w:vAlign w:val="center"/>
          </w:tcPr>
          <w:p w14:paraId="48CA3148">
            <w:pPr>
              <w:jc w:val="center"/>
              <w:rPr>
                <w:sz w:val="21"/>
                <w:szCs w:val="21"/>
              </w:rPr>
            </w:pPr>
          </w:p>
        </w:tc>
        <w:tc>
          <w:tcPr>
            <w:tcW w:w="1134" w:type="dxa"/>
            <w:vMerge w:val="continue"/>
            <w:tcBorders>
              <w:left w:val="single" w:color="auto" w:sz="8" w:space="0"/>
              <w:right w:val="single" w:color="auto" w:sz="4" w:space="0"/>
            </w:tcBorders>
            <w:vAlign w:val="center"/>
          </w:tcPr>
          <w:p w14:paraId="0FD16A1B">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6FE04434">
            <w:pPr>
              <w:rPr>
                <w:sz w:val="21"/>
                <w:szCs w:val="21"/>
                <w:lang w:bidi="en-US"/>
              </w:rPr>
            </w:pPr>
            <w:r>
              <w:rPr>
                <w:rFonts w:hint="eastAsia"/>
                <w:sz w:val="21"/>
                <w:szCs w:val="21"/>
                <w:lang w:bidi="en-US"/>
              </w:rPr>
              <w:t>应急预案较合理</w:t>
            </w:r>
          </w:p>
        </w:tc>
        <w:tc>
          <w:tcPr>
            <w:tcW w:w="1212" w:type="dxa"/>
            <w:tcBorders>
              <w:top w:val="single" w:color="auto" w:sz="4" w:space="0"/>
              <w:left w:val="single" w:color="auto" w:sz="4" w:space="0"/>
              <w:bottom w:val="single" w:color="auto" w:sz="4" w:space="0"/>
              <w:right w:val="single" w:color="auto" w:sz="8" w:space="0"/>
            </w:tcBorders>
            <w:vAlign w:val="center"/>
          </w:tcPr>
          <w:p w14:paraId="09A57A27">
            <w:pPr>
              <w:jc w:val="center"/>
              <w:rPr>
                <w:sz w:val="21"/>
                <w:szCs w:val="21"/>
              </w:rPr>
            </w:pPr>
            <w:r>
              <w:rPr>
                <w:rFonts w:hint="eastAsia"/>
                <w:sz w:val="21"/>
                <w:szCs w:val="21"/>
              </w:rPr>
              <w:t>3.0-4.0</w:t>
            </w:r>
          </w:p>
        </w:tc>
      </w:tr>
      <w:tr w14:paraId="43713827">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745DA1CD">
            <w:pPr>
              <w:jc w:val="center"/>
              <w:rPr>
                <w:sz w:val="21"/>
                <w:szCs w:val="21"/>
              </w:rPr>
            </w:pPr>
          </w:p>
        </w:tc>
        <w:tc>
          <w:tcPr>
            <w:tcW w:w="1701" w:type="dxa"/>
            <w:vMerge w:val="continue"/>
            <w:tcBorders>
              <w:left w:val="single" w:color="auto" w:sz="4" w:space="0"/>
              <w:right w:val="single" w:color="auto" w:sz="4" w:space="0"/>
            </w:tcBorders>
            <w:vAlign w:val="center"/>
          </w:tcPr>
          <w:p w14:paraId="47153394">
            <w:pPr>
              <w:jc w:val="center"/>
              <w:rPr>
                <w:sz w:val="21"/>
                <w:szCs w:val="21"/>
              </w:rPr>
            </w:pPr>
          </w:p>
        </w:tc>
        <w:tc>
          <w:tcPr>
            <w:tcW w:w="1418" w:type="dxa"/>
            <w:vMerge w:val="continue"/>
            <w:tcBorders>
              <w:left w:val="nil"/>
              <w:bottom w:val="single" w:color="auto" w:sz="4" w:space="0"/>
              <w:right w:val="single" w:color="auto" w:sz="8" w:space="0"/>
            </w:tcBorders>
            <w:vAlign w:val="center"/>
          </w:tcPr>
          <w:p w14:paraId="13688338">
            <w:pPr>
              <w:jc w:val="center"/>
              <w:rPr>
                <w:sz w:val="21"/>
                <w:szCs w:val="21"/>
              </w:rPr>
            </w:pPr>
          </w:p>
        </w:tc>
        <w:tc>
          <w:tcPr>
            <w:tcW w:w="1134" w:type="dxa"/>
            <w:vMerge w:val="continue"/>
            <w:tcBorders>
              <w:left w:val="single" w:color="auto" w:sz="8" w:space="0"/>
              <w:bottom w:val="single" w:color="auto" w:sz="4" w:space="0"/>
              <w:right w:val="single" w:color="auto" w:sz="4" w:space="0"/>
            </w:tcBorders>
            <w:vAlign w:val="center"/>
          </w:tcPr>
          <w:p w14:paraId="2B7EB5A4">
            <w:pP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370B1431">
            <w:pPr>
              <w:rPr>
                <w:sz w:val="21"/>
                <w:szCs w:val="21"/>
                <w:lang w:bidi="en-US"/>
              </w:rPr>
            </w:pPr>
            <w:r>
              <w:rPr>
                <w:rFonts w:hint="eastAsia"/>
                <w:sz w:val="21"/>
                <w:szCs w:val="21"/>
                <w:lang w:bidi="en-US"/>
              </w:rPr>
              <w:t>应急预案基本满足要求</w:t>
            </w:r>
          </w:p>
        </w:tc>
        <w:tc>
          <w:tcPr>
            <w:tcW w:w="1212" w:type="dxa"/>
            <w:tcBorders>
              <w:top w:val="single" w:color="auto" w:sz="4" w:space="0"/>
              <w:left w:val="single" w:color="auto" w:sz="4" w:space="0"/>
              <w:bottom w:val="single" w:color="auto" w:sz="4" w:space="0"/>
              <w:right w:val="single" w:color="auto" w:sz="8" w:space="0"/>
            </w:tcBorders>
            <w:vAlign w:val="center"/>
          </w:tcPr>
          <w:p w14:paraId="3F127DCF">
            <w:pPr>
              <w:jc w:val="center"/>
              <w:rPr>
                <w:sz w:val="21"/>
                <w:szCs w:val="21"/>
              </w:rPr>
            </w:pPr>
            <w:r>
              <w:rPr>
                <w:rFonts w:hint="eastAsia"/>
                <w:sz w:val="21"/>
                <w:szCs w:val="21"/>
              </w:rPr>
              <w:t>3.0</w:t>
            </w:r>
          </w:p>
        </w:tc>
      </w:tr>
      <w:tr w14:paraId="4D7AF887">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698414B8">
            <w:pPr>
              <w:jc w:val="center"/>
              <w:rPr>
                <w:sz w:val="21"/>
                <w:szCs w:val="21"/>
              </w:rPr>
            </w:pPr>
          </w:p>
        </w:tc>
        <w:tc>
          <w:tcPr>
            <w:tcW w:w="1701" w:type="dxa"/>
            <w:vMerge w:val="continue"/>
            <w:tcBorders>
              <w:left w:val="single" w:color="auto" w:sz="4" w:space="0"/>
              <w:right w:val="single" w:color="auto" w:sz="4" w:space="0"/>
            </w:tcBorders>
            <w:vAlign w:val="center"/>
          </w:tcPr>
          <w:p w14:paraId="0B1BCDE9">
            <w:pPr>
              <w:jc w:val="center"/>
              <w:rPr>
                <w:sz w:val="21"/>
                <w:szCs w:val="21"/>
              </w:rPr>
            </w:pPr>
          </w:p>
        </w:tc>
        <w:tc>
          <w:tcPr>
            <w:tcW w:w="1418" w:type="dxa"/>
            <w:vMerge w:val="restart"/>
            <w:tcBorders>
              <w:top w:val="single" w:color="auto" w:sz="4" w:space="0"/>
              <w:left w:val="nil"/>
              <w:right w:val="single" w:color="auto" w:sz="4" w:space="0"/>
            </w:tcBorders>
            <w:vAlign w:val="center"/>
          </w:tcPr>
          <w:p w14:paraId="44B708CF">
            <w:pPr>
              <w:jc w:val="center"/>
              <w:rPr>
                <w:sz w:val="21"/>
                <w:szCs w:val="21"/>
              </w:rPr>
            </w:pPr>
            <w:r>
              <w:rPr>
                <w:rFonts w:hint="eastAsia"/>
                <w:sz w:val="21"/>
                <w:szCs w:val="21"/>
              </w:rPr>
              <w:t>交通组织方案</w:t>
            </w:r>
          </w:p>
        </w:tc>
        <w:tc>
          <w:tcPr>
            <w:tcW w:w="1134" w:type="dxa"/>
            <w:vMerge w:val="restart"/>
            <w:tcBorders>
              <w:top w:val="single" w:color="auto" w:sz="4" w:space="0"/>
              <w:left w:val="single" w:color="auto" w:sz="4" w:space="0"/>
              <w:right w:val="single" w:color="auto" w:sz="4" w:space="0"/>
            </w:tcBorders>
            <w:vAlign w:val="center"/>
          </w:tcPr>
          <w:p w14:paraId="3CD9CAA3">
            <w:pPr>
              <w:jc w:val="center"/>
              <w:rPr>
                <w:sz w:val="21"/>
                <w:szCs w:val="21"/>
              </w:rPr>
            </w:pPr>
            <w:r>
              <w:rPr>
                <w:rFonts w:hint="eastAsia"/>
                <w:sz w:val="21"/>
                <w:szCs w:val="21"/>
              </w:rPr>
              <w:t>5分</w:t>
            </w:r>
          </w:p>
        </w:tc>
        <w:tc>
          <w:tcPr>
            <w:tcW w:w="3572" w:type="dxa"/>
            <w:tcBorders>
              <w:top w:val="single" w:color="auto" w:sz="4" w:space="0"/>
              <w:left w:val="single" w:color="auto" w:sz="4" w:space="0"/>
              <w:bottom w:val="single" w:color="auto" w:sz="4" w:space="0"/>
              <w:right w:val="single" w:color="auto" w:sz="4" w:space="0"/>
            </w:tcBorders>
            <w:vAlign w:val="center"/>
          </w:tcPr>
          <w:p w14:paraId="0A3F961A">
            <w:pPr>
              <w:rPr>
                <w:sz w:val="21"/>
                <w:szCs w:val="21"/>
              </w:rPr>
            </w:pPr>
            <w:r>
              <w:rPr>
                <w:rFonts w:hint="eastAsia"/>
                <w:sz w:val="21"/>
                <w:szCs w:val="21"/>
                <w:lang w:bidi="en-US"/>
              </w:rPr>
              <w:t>方案合理、完善</w:t>
            </w:r>
          </w:p>
        </w:tc>
        <w:tc>
          <w:tcPr>
            <w:tcW w:w="1212" w:type="dxa"/>
            <w:tcBorders>
              <w:top w:val="single" w:color="auto" w:sz="4" w:space="0"/>
              <w:left w:val="single" w:color="auto" w:sz="4" w:space="0"/>
              <w:bottom w:val="single" w:color="auto" w:sz="4" w:space="0"/>
              <w:right w:val="single" w:color="auto" w:sz="8" w:space="0"/>
            </w:tcBorders>
            <w:vAlign w:val="center"/>
          </w:tcPr>
          <w:p w14:paraId="446E107A">
            <w:pPr>
              <w:jc w:val="center"/>
              <w:rPr>
                <w:sz w:val="21"/>
                <w:szCs w:val="21"/>
              </w:rPr>
            </w:pPr>
            <w:r>
              <w:rPr>
                <w:rFonts w:hint="eastAsia"/>
                <w:sz w:val="21"/>
                <w:szCs w:val="21"/>
              </w:rPr>
              <w:t>4.0-5.0</w:t>
            </w:r>
          </w:p>
        </w:tc>
      </w:tr>
      <w:tr w14:paraId="75283BDE">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019D3594">
            <w:pPr>
              <w:jc w:val="center"/>
              <w:rPr>
                <w:sz w:val="21"/>
                <w:szCs w:val="21"/>
              </w:rPr>
            </w:pPr>
          </w:p>
        </w:tc>
        <w:tc>
          <w:tcPr>
            <w:tcW w:w="1701" w:type="dxa"/>
            <w:vMerge w:val="continue"/>
            <w:tcBorders>
              <w:left w:val="single" w:color="auto" w:sz="4" w:space="0"/>
              <w:right w:val="single" w:color="auto" w:sz="4" w:space="0"/>
            </w:tcBorders>
            <w:vAlign w:val="center"/>
          </w:tcPr>
          <w:p w14:paraId="071D1CC7">
            <w:pPr>
              <w:jc w:val="center"/>
              <w:rPr>
                <w:sz w:val="21"/>
                <w:szCs w:val="21"/>
              </w:rPr>
            </w:pPr>
          </w:p>
        </w:tc>
        <w:tc>
          <w:tcPr>
            <w:tcW w:w="1418" w:type="dxa"/>
            <w:vMerge w:val="continue"/>
            <w:tcBorders>
              <w:left w:val="nil"/>
              <w:right w:val="single" w:color="auto" w:sz="4" w:space="0"/>
            </w:tcBorders>
            <w:vAlign w:val="center"/>
          </w:tcPr>
          <w:p w14:paraId="02E59FA4">
            <w:pPr>
              <w:jc w:val="center"/>
              <w:rPr>
                <w:sz w:val="21"/>
                <w:szCs w:val="21"/>
              </w:rPr>
            </w:pPr>
          </w:p>
        </w:tc>
        <w:tc>
          <w:tcPr>
            <w:tcW w:w="1134" w:type="dxa"/>
            <w:vMerge w:val="continue"/>
            <w:tcBorders>
              <w:left w:val="single" w:color="auto" w:sz="4" w:space="0"/>
              <w:right w:val="single" w:color="auto" w:sz="4" w:space="0"/>
            </w:tcBorders>
            <w:vAlign w:val="center"/>
          </w:tcPr>
          <w:p w14:paraId="3E2A0F09">
            <w:pPr>
              <w:jc w:val="cente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6E8FB428">
            <w:pPr>
              <w:rPr>
                <w:sz w:val="21"/>
                <w:szCs w:val="21"/>
              </w:rPr>
            </w:pPr>
            <w:r>
              <w:rPr>
                <w:rFonts w:hint="eastAsia"/>
                <w:sz w:val="21"/>
                <w:szCs w:val="21"/>
                <w:lang w:bidi="en-US"/>
              </w:rPr>
              <w:t>方案较合理、较完善</w:t>
            </w:r>
          </w:p>
        </w:tc>
        <w:tc>
          <w:tcPr>
            <w:tcW w:w="1212" w:type="dxa"/>
            <w:tcBorders>
              <w:top w:val="single" w:color="auto" w:sz="4" w:space="0"/>
              <w:left w:val="single" w:color="auto" w:sz="4" w:space="0"/>
              <w:bottom w:val="single" w:color="auto" w:sz="4" w:space="0"/>
              <w:right w:val="single" w:color="auto" w:sz="8" w:space="0"/>
            </w:tcBorders>
            <w:vAlign w:val="center"/>
          </w:tcPr>
          <w:p w14:paraId="19FF6090">
            <w:pPr>
              <w:jc w:val="center"/>
              <w:rPr>
                <w:sz w:val="21"/>
                <w:szCs w:val="21"/>
              </w:rPr>
            </w:pPr>
            <w:r>
              <w:rPr>
                <w:rFonts w:hint="eastAsia"/>
                <w:sz w:val="21"/>
                <w:szCs w:val="21"/>
              </w:rPr>
              <w:t>3.0-4.0</w:t>
            </w:r>
          </w:p>
        </w:tc>
      </w:tr>
      <w:tr w14:paraId="3EB8544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bottom w:val="single" w:color="auto" w:sz="4" w:space="0"/>
              <w:right w:val="single" w:color="auto" w:sz="4" w:space="0"/>
            </w:tcBorders>
            <w:vAlign w:val="center"/>
          </w:tcPr>
          <w:p w14:paraId="238D9F66">
            <w:pPr>
              <w:jc w:val="center"/>
              <w:rPr>
                <w:sz w:val="21"/>
                <w:szCs w:val="21"/>
              </w:rPr>
            </w:pPr>
          </w:p>
        </w:tc>
        <w:tc>
          <w:tcPr>
            <w:tcW w:w="1701" w:type="dxa"/>
            <w:vMerge w:val="continue"/>
            <w:tcBorders>
              <w:left w:val="single" w:color="auto" w:sz="4" w:space="0"/>
              <w:bottom w:val="single" w:color="auto" w:sz="4" w:space="0"/>
              <w:right w:val="single" w:color="auto" w:sz="4" w:space="0"/>
            </w:tcBorders>
            <w:vAlign w:val="center"/>
          </w:tcPr>
          <w:p w14:paraId="0B28C754">
            <w:pPr>
              <w:jc w:val="center"/>
              <w:rPr>
                <w:sz w:val="21"/>
                <w:szCs w:val="21"/>
              </w:rPr>
            </w:pPr>
          </w:p>
        </w:tc>
        <w:tc>
          <w:tcPr>
            <w:tcW w:w="1418" w:type="dxa"/>
            <w:vMerge w:val="continue"/>
            <w:tcBorders>
              <w:left w:val="nil"/>
              <w:bottom w:val="single" w:color="auto" w:sz="4" w:space="0"/>
              <w:right w:val="single" w:color="auto" w:sz="4" w:space="0"/>
            </w:tcBorders>
            <w:vAlign w:val="center"/>
          </w:tcPr>
          <w:p w14:paraId="367388A1">
            <w:pPr>
              <w:jc w:val="center"/>
              <w:rPr>
                <w:sz w:val="21"/>
                <w:szCs w:val="21"/>
              </w:rPr>
            </w:pPr>
          </w:p>
        </w:tc>
        <w:tc>
          <w:tcPr>
            <w:tcW w:w="1134" w:type="dxa"/>
            <w:vMerge w:val="continue"/>
            <w:tcBorders>
              <w:left w:val="single" w:color="auto" w:sz="4" w:space="0"/>
              <w:bottom w:val="single" w:color="auto" w:sz="4" w:space="0"/>
              <w:right w:val="single" w:color="auto" w:sz="4" w:space="0"/>
            </w:tcBorders>
            <w:vAlign w:val="center"/>
          </w:tcPr>
          <w:p w14:paraId="094D5B4A">
            <w:pPr>
              <w:jc w:val="center"/>
              <w:rPr>
                <w:sz w:val="21"/>
                <w:szCs w:val="21"/>
                <w:lang w:bidi="en-US"/>
              </w:rPr>
            </w:pPr>
          </w:p>
        </w:tc>
        <w:tc>
          <w:tcPr>
            <w:tcW w:w="3572" w:type="dxa"/>
            <w:tcBorders>
              <w:top w:val="single" w:color="auto" w:sz="4" w:space="0"/>
              <w:left w:val="single" w:color="auto" w:sz="4" w:space="0"/>
              <w:bottom w:val="single" w:color="auto" w:sz="4" w:space="0"/>
              <w:right w:val="single" w:color="auto" w:sz="4" w:space="0"/>
            </w:tcBorders>
            <w:vAlign w:val="center"/>
          </w:tcPr>
          <w:p w14:paraId="77B3CE57">
            <w:pPr>
              <w:rPr>
                <w:sz w:val="21"/>
                <w:szCs w:val="21"/>
              </w:rPr>
            </w:pPr>
            <w:r>
              <w:rPr>
                <w:rFonts w:hint="eastAsia"/>
                <w:sz w:val="21"/>
                <w:szCs w:val="21"/>
                <w:lang w:bidi="en-US"/>
              </w:rPr>
              <w:t>方案基本满足要求</w:t>
            </w:r>
          </w:p>
        </w:tc>
        <w:tc>
          <w:tcPr>
            <w:tcW w:w="1212" w:type="dxa"/>
            <w:tcBorders>
              <w:top w:val="single" w:color="auto" w:sz="4" w:space="0"/>
              <w:left w:val="single" w:color="auto" w:sz="4" w:space="0"/>
              <w:bottom w:val="single" w:color="auto" w:sz="4" w:space="0"/>
              <w:right w:val="single" w:color="auto" w:sz="8" w:space="0"/>
            </w:tcBorders>
            <w:vAlign w:val="center"/>
          </w:tcPr>
          <w:p w14:paraId="47FFE31B">
            <w:pPr>
              <w:jc w:val="center"/>
              <w:rPr>
                <w:sz w:val="21"/>
                <w:szCs w:val="21"/>
              </w:rPr>
            </w:pPr>
            <w:r>
              <w:rPr>
                <w:rFonts w:hint="eastAsia"/>
                <w:sz w:val="21"/>
                <w:szCs w:val="21"/>
              </w:rPr>
              <w:t>3.0</w:t>
            </w:r>
          </w:p>
        </w:tc>
      </w:tr>
      <w:tr w14:paraId="029EAC90">
        <w:tblPrEx>
          <w:tblCellMar>
            <w:top w:w="0" w:type="dxa"/>
            <w:left w:w="108" w:type="dxa"/>
            <w:bottom w:w="0" w:type="dxa"/>
            <w:right w:w="108" w:type="dxa"/>
          </w:tblCellMar>
        </w:tblPrEx>
        <w:trPr>
          <w:trHeight w:val="967" w:hRule="atLeast"/>
          <w:jc w:val="center"/>
        </w:trPr>
        <w:tc>
          <w:tcPr>
            <w:tcW w:w="817" w:type="dxa"/>
            <w:vMerge w:val="restart"/>
            <w:tcBorders>
              <w:top w:val="single" w:color="auto" w:sz="4" w:space="0"/>
              <w:left w:val="single" w:color="auto" w:sz="8" w:space="0"/>
              <w:bottom w:val="single" w:color="auto" w:sz="4" w:space="0"/>
              <w:right w:val="single" w:color="auto" w:sz="8" w:space="0"/>
            </w:tcBorders>
            <w:vAlign w:val="center"/>
          </w:tcPr>
          <w:p w14:paraId="40852C76">
            <w:pPr>
              <w:jc w:val="center"/>
              <w:rPr>
                <w:sz w:val="21"/>
                <w:szCs w:val="21"/>
              </w:rPr>
            </w:pPr>
            <w:r>
              <w:rPr>
                <w:rFonts w:hint="eastAsia"/>
                <w:sz w:val="21"/>
                <w:szCs w:val="21"/>
              </w:rPr>
              <w:t>2.2.2（2）</w:t>
            </w:r>
          </w:p>
        </w:tc>
        <w:tc>
          <w:tcPr>
            <w:tcW w:w="1701" w:type="dxa"/>
            <w:vMerge w:val="restart"/>
            <w:tcBorders>
              <w:top w:val="single" w:color="auto" w:sz="4" w:space="0"/>
              <w:left w:val="single" w:color="auto" w:sz="8" w:space="0"/>
              <w:bottom w:val="single" w:color="auto" w:sz="4" w:space="0"/>
              <w:right w:val="single" w:color="auto" w:sz="8" w:space="0"/>
            </w:tcBorders>
            <w:vAlign w:val="center"/>
          </w:tcPr>
          <w:p w14:paraId="50078574">
            <w:pPr>
              <w:jc w:val="center"/>
              <w:rPr>
                <w:sz w:val="21"/>
                <w:szCs w:val="21"/>
              </w:rPr>
            </w:pPr>
            <w:r>
              <w:rPr>
                <w:rFonts w:hint="eastAsia"/>
                <w:sz w:val="21"/>
                <w:szCs w:val="21"/>
              </w:rPr>
              <w:t>主要人员</w:t>
            </w:r>
          </w:p>
          <w:p w14:paraId="4B97A422">
            <w:pPr>
              <w:jc w:val="center"/>
              <w:rPr>
                <w:sz w:val="21"/>
                <w:szCs w:val="21"/>
              </w:rPr>
            </w:pPr>
            <w:r>
              <w:rPr>
                <w:rFonts w:hint="eastAsia"/>
                <w:sz w:val="21"/>
                <w:szCs w:val="21"/>
              </w:rPr>
              <w:t>（40分）</w:t>
            </w:r>
          </w:p>
        </w:tc>
        <w:tc>
          <w:tcPr>
            <w:tcW w:w="1418" w:type="dxa"/>
            <w:tcBorders>
              <w:top w:val="single" w:color="auto" w:sz="4" w:space="0"/>
              <w:left w:val="nil"/>
              <w:right w:val="single" w:color="auto" w:sz="4" w:space="0"/>
            </w:tcBorders>
            <w:vAlign w:val="center"/>
          </w:tcPr>
          <w:p w14:paraId="138082E6">
            <w:pPr>
              <w:ind w:right="113"/>
              <w:jc w:val="center"/>
              <w:rPr>
                <w:sz w:val="21"/>
                <w:szCs w:val="21"/>
              </w:rPr>
            </w:pPr>
            <w:r>
              <w:rPr>
                <w:rFonts w:hint="eastAsia"/>
                <w:sz w:val="21"/>
                <w:szCs w:val="21"/>
                <w:lang w:bidi="en-US"/>
              </w:rPr>
              <w:t>项目经理任职资格</w:t>
            </w:r>
          </w:p>
        </w:tc>
        <w:tc>
          <w:tcPr>
            <w:tcW w:w="1134" w:type="dxa"/>
            <w:tcBorders>
              <w:top w:val="single" w:color="auto" w:sz="4" w:space="0"/>
              <w:left w:val="single" w:color="auto" w:sz="4" w:space="0"/>
              <w:right w:val="single" w:color="auto" w:sz="4" w:space="0"/>
            </w:tcBorders>
            <w:vAlign w:val="center"/>
          </w:tcPr>
          <w:p w14:paraId="442A5D2A">
            <w:pPr>
              <w:jc w:val="center"/>
              <w:rPr>
                <w:sz w:val="21"/>
                <w:szCs w:val="21"/>
                <w:lang w:bidi="en-US"/>
              </w:rPr>
            </w:pPr>
            <w:r>
              <w:rPr>
                <w:rFonts w:hint="eastAsia"/>
                <w:sz w:val="21"/>
                <w:szCs w:val="21"/>
              </w:rPr>
              <w:t>20分</w:t>
            </w:r>
          </w:p>
        </w:tc>
        <w:tc>
          <w:tcPr>
            <w:tcW w:w="3572" w:type="dxa"/>
            <w:tcBorders>
              <w:top w:val="single" w:color="auto" w:sz="4" w:space="0"/>
              <w:left w:val="single" w:color="auto" w:sz="4" w:space="0"/>
              <w:right w:val="single" w:color="auto" w:sz="4" w:space="0"/>
            </w:tcBorders>
            <w:vAlign w:val="center"/>
          </w:tcPr>
          <w:p w14:paraId="2844E329">
            <w:pPr>
              <w:ind w:right="113"/>
              <w:rPr>
                <w:sz w:val="21"/>
                <w:szCs w:val="21"/>
              </w:rPr>
            </w:pPr>
            <w:r>
              <w:rPr>
                <w:rFonts w:hint="eastAsia"/>
                <w:sz w:val="21"/>
                <w:szCs w:val="21"/>
              </w:rPr>
              <w:t>满足资格审查条件，得12分；</w:t>
            </w:r>
          </w:p>
          <w:p w14:paraId="75CB59A2">
            <w:pPr>
              <w:ind w:right="113"/>
              <w:rPr>
                <w:sz w:val="21"/>
                <w:szCs w:val="21"/>
                <w:lang w:bidi="en-US"/>
              </w:rPr>
            </w:pPr>
            <w:r>
              <w:rPr>
                <w:rFonts w:hint="eastAsia"/>
                <w:sz w:val="21"/>
                <w:szCs w:val="21"/>
              </w:rPr>
              <w:t>每增加1个满足资格审查要求（项目经理和项目总工最低要求）的业绩加8分，最多加8分。</w:t>
            </w:r>
          </w:p>
        </w:tc>
        <w:tc>
          <w:tcPr>
            <w:tcW w:w="1212" w:type="dxa"/>
            <w:tcBorders>
              <w:top w:val="single" w:color="auto" w:sz="4" w:space="0"/>
              <w:left w:val="single" w:color="auto" w:sz="4" w:space="0"/>
              <w:right w:val="single" w:color="auto" w:sz="8" w:space="0"/>
            </w:tcBorders>
            <w:vAlign w:val="center"/>
          </w:tcPr>
          <w:p w14:paraId="153A8F78">
            <w:pPr>
              <w:jc w:val="center"/>
              <w:rPr>
                <w:sz w:val="21"/>
                <w:szCs w:val="21"/>
              </w:rPr>
            </w:pPr>
            <w:r>
              <w:rPr>
                <w:rFonts w:hint="eastAsia"/>
                <w:sz w:val="21"/>
                <w:szCs w:val="21"/>
              </w:rPr>
              <w:t>20分</w:t>
            </w:r>
          </w:p>
        </w:tc>
      </w:tr>
      <w:tr w14:paraId="183FC9B8">
        <w:tblPrEx>
          <w:tblCellMar>
            <w:top w:w="0" w:type="dxa"/>
            <w:left w:w="108" w:type="dxa"/>
            <w:bottom w:w="0" w:type="dxa"/>
            <w:right w:w="108" w:type="dxa"/>
          </w:tblCellMar>
        </w:tblPrEx>
        <w:trPr>
          <w:trHeight w:val="957" w:hRule="atLeast"/>
          <w:jc w:val="center"/>
        </w:trPr>
        <w:tc>
          <w:tcPr>
            <w:tcW w:w="817" w:type="dxa"/>
            <w:vMerge w:val="continue"/>
            <w:tcBorders>
              <w:top w:val="single" w:color="auto" w:sz="4" w:space="0"/>
              <w:left w:val="single" w:color="auto" w:sz="8" w:space="0"/>
              <w:bottom w:val="single" w:color="auto" w:sz="4" w:space="0"/>
              <w:right w:val="single" w:color="auto" w:sz="8" w:space="0"/>
            </w:tcBorders>
            <w:vAlign w:val="center"/>
          </w:tcPr>
          <w:p w14:paraId="1C4ECC1C">
            <w:pPr>
              <w:jc w:val="center"/>
              <w:rPr>
                <w:sz w:val="21"/>
                <w:szCs w:val="21"/>
              </w:rPr>
            </w:pPr>
          </w:p>
        </w:tc>
        <w:tc>
          <w:tcPr>
            <w:tcW w:w="1701" w:type="dxa"/>
            <w:vMerge w:val="continue"/>
            <w:tcBorders>
              <w:top w:val="single" w:color="auto" w:sz="4" w:space="0"/>
              <w:left w:val="single" w:color="auto" w:sz="8" w:space="0"/>
              <w:bottom w:val="single" w:color="auto" w:sz="4" w:space="0"/>
              <w:right w:val="single" w:color="auto" w:sz="8" w:space="0"/>
            </w:tcBorders>
            <w:vAlign w:val="center"/>
          </w:tcPr>
          <w:p w14:paraId="15F8FFB4">
            <w:pPr>
              <w:jc w:val="center"/>
              <w:rPr>
                <w:sz w:val="21"/>
                <w:szCs w:val="21"/>
              </w:rPr>
            </w:pPr>
          </w:p>
        </w:tc>
        <w:tc>
          <w:tcPr>
            <w:tcW w:w="1418" w:type="dxa"/>
            <w:tcBorders>
              <w:top w:val="single" w:color="auto" w:sz="4" w:space="0"/>
              <w:left w:val="nil"/>
              <w:bottom w:val="single" w:color="auto" w:sz="4" w:space="0"/>
              <w:right w:val="single" w:color="auto" w:sz="4" w:space="0"/>
            </w:tcBorders>
            <w:vAlign w:val="center"/>
          </w:tcPr>
          <w:p w14:paraId="0C766958">
            <w:pPr>
              <w:ind w:right="113"/>
              <w:jc w:val="center"/>
              <w:rPr>
                <w:sz w:val="21"/>
                <w:szCs w:val="21"/>
              </w:rPr>
            </w:pPr>
            <w:r>
              <w:rPr>
                <w:rFonts w:hint="eastAsia"/>
                <w:sz w:val="21"/>
                <w:szCs w:val="21"/>
                <w:lang w:bidi="en-US"/>
              </w:rPr>
              <w:t>项目总工任职资格</w:t>
            </w:r>
          </w:p>
        </w:tc>
        <w:tc>
          <w:tcPr>
            <w:tcW w:w="1134" w:type="dxa"/>
            <w:tcBorders>
              <w:top w:val="single" w:color="auto" w:sz="4" w:space="0"/>
              <w:left w:val="single" w:color="auto" w:sz="4" w:space="0"/>
              <w:bottom w:val="single" w:color="auto" w:sz="4" w:space="0"/>
              <w:right w:val="single" w:color="auto" w:sz="4" w:space="0"/>
            </w:tcBorders>
            <w:vAlign w:val="center"/>
          </w:tcPr>
          <w:p w14:paraId="35B41D5A">
            <w:pPr>
              <w:jc w:val="center"/>
              <w:rPr>
                <w:sz w:val="21"/>
                <w:szCs w:val="21"/>
                <w:lang w:bidi="en-US"/>
              </w:rPr>
            </w:pPr>
            <w:r>
              <w:rPr>
                <w:rFonts w:hint="eastAsia"/>
                <w:sz w:val="21"/>
                <w:szCs w:val="21"/>
              </w:rPr>
              <w:t>20分</w:t>
            </w:r>
          </w:p>
        </w:tc>
        <w:tc>
          <w:tcPr>
            <w:tcW w:w="3572" w:type="dxa"/>
            <w:tcBorders>
              <w:top w:val="single" w:color="auto" w:sz="4" w:space="0"/>
              <w:left w:val="single" w:color="auto" w:sz="4" w:space="0"/>
              <w:bottom w:val="single" w:color="auto" w:sz="4" w:space="0"/>
              <w:right w:val="single" w:color="auto" w:sz="4" w:space="0"/>
            </w:tcBorders>
            <w:vAlign w:val="center"/>
          </w:tcPr>
          <w:p w14:paraId="59D6CB01">
            <w:pPr>
              <w:ind w:right="113"/>
              <w:rPr>
                <w:sz w:val="21"/>
                <w:szCs w:val="21"/>
              </w:rPr>
            </w:pPr>
            <w:r>
              <w:rPr>
                <w:rFonts w:hint="eastAsia"/>
                <w:sz w:val="21"/>
                <w:szCs w:val="21"/>
              </w:rPr>
              <w:t>满足资格审查条件，得12分；</w:t>
            </w:r>
          </w:p>
          <w:p w14:paraId="2036BFE1">
            <w:pPr>
              <w:ind w:right="113"/>
              <w:rPr>
                <w:sz w:val="21"/>
                <w:szCs w:val="21"/>
                <w:lang w:bidi="en-US"/>
              </w:rPr>
            </w:pPr>
            <w:r>
              <w:rPr>
                <w:rFonts w:hint="eastAsia"/>
                <w:sz w:val="21"/>
                <w:szCs w:val="21"/>
              </w:rPr>
              <w:t>每增加1个满足资格审查要求（项目经理和项目总工最低要求）的业绩加8分，最多加8分。</w:t>
            </w:r>
          </w:p>
        </w:tc>
        <w:tc>
          <w:tcPr>
            <w:tcW w:w="1212" w:type="dxa"/>
            <w:tcBorders>
              <w:top w:val="single" w:color="auto" w:sz="4" w:space="0"/>
              <w:left w:val="single" w:color="auto" w:sz="4" w:space="0"/>
              <w:bottom w:val="single" w:color="auto" w:sz="4" w:space="0"/>
              <w:right w:val="single" w:color="auto" w:sz="8" w:space="0"/>
            </w:tcBorders>
            <w:vAlign w:val="center"/>
          </w:tcPr>
          <w:p w14:paraId="6F6BDE65">
            <w:pPr>
              <w:jc w:val="center"/>
              <w:rPr>
                <w:sz w:val="21"/>
                <w:szCs w:val="21"/>
              </w:rPr>
            </w:pPr>
            <w:r>
              <w:rPr>
                <w:rFonts w:hint="eastAsia"/>
                <w:sz w:val="21"/>
                <w:szCs w:val="21"/>
              </w:rPr>
              <w:t>20分</w:t>
            </w:r>
          </w:p>
        </w:tc>
      </w:tr>
      <w:tr w14:paraId="22AA0EF6">
        <w:tblPrEx>
          <w:tblCellMar>
            <w:top w:w="0" w:type="dxa"/>
            <w:left w:w="108" w:type="dxa"/>
            <w:bottom w:w="0" w:type="dxa"/>
            <w:right w:w="108" w:type="dxa"/>
          </w:tblCellMar>
        </w:tblPrEx>
        <w:trPr>
          <w:trHeight w:val="108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22A6997">
            <w:pPr>
              <w:jc w:val="center"/>
              <w:rPr>
                <w:sz w:val="21"/>
                <w:szCs w:val="21"/>
              </w:rPr>
            </w:pPr>
            <w:r>
              <w:rPr>
                <w:rFonts w:hint="eastAsia"/>
                <w:sz w:val="21"/>
                <w:szCs w:val="21"/>
              </w:rPr>
              <w:t>2.2.2（3）</w:t>
            </w:r>
          </w:p>
        </w:tc>
        <w:tc>
          <w:tcPr>
            <w:tcW w:w="1701" w:type="dxa"/>
            <w:tcBorders>
              <w:top w:val="single" w:color="auto" w:sz="4" w:space="0"/>
              <w:left w:val="single" w:color="auto" w:sz="4" w:space="0"/>
              <w:bottom w:val="single" w:color="auto" w:sz="4" w:space="0"/>
              <w:right w:val="single" w:color="auto" w:sz="4" w:space="0"/>
            </w:tcBorders>
            <w:vAlign w:val="center"/>
          </w:tcPr>
          <w:p w14:paraId="1021A637">
            <w:pPr>
              <w:jc w:val="center"/>
              <w:rPr>
                <w:sz w:val="21"/>
                <w:szCs w:val="21"/>
              </w:rPr>
            </w:pPr>
            <w:r>
              <w:rPr>
                <w:rFonts w:hint="eastAsia"/>
                <w:sz w:val="21"/>
                <w:szCs w:val="21"/>
                <w:lang w:bidi="en-US"/>
              </w:rPr>
              <w:t>企业业绩（20分）</w:t>
            </w:r>
          </w:p>
        </w:tc>
        <w:tc>
          <w:tcPr>
            <w:tcW w:w="1418" w:type="dxa"/>
            <w:tcBorders>
              <w:top w:val="single" w:color="auto" w:sz="4" w:space="0"/>
              <w:left w:val="single" w:color="auto" w:sz="4" w:space="0"/>
              <w:bottom w:val="single" w:color="auto" w:sz="4" w:space="0"/>
              <w:right w:val="single" w:color="auto" w:sz="4" w:space="0"/>
            </w:tcBorders>
            <w:vAlign w:val="center"/>
          </w:tcPr>
          <w:p w14:paraId="75F25615">
            <w:pPr>
              <w:jc w:val="center"/>
              <w:rPr>
                <w:sz w:val="21"/>
                <w:szCs w:val="21"/>
              </w:rPr>
            </w:pPr>
            <w:r>
              <w:rPr>
                <w:rFonts w:hint="eastAsia"/>
                <w:sz w:val="21"/>
                <w:szCs w:val="21"/>
              </w:rPr>
              <w:t>企业业绩</w:t>
            </w:r>
          </w:p>
        </w:tc>
        <w:tc>
          <w:tcPr>
            <w:tcW w:w="1134" w:type="dxa"/>
            <w:tcBorders>
              <w:top w:val="single" w:color="auto" w:sz="4" w:space="0"/>
              <w:left w:val="single" w:color="auto" w:sz="4" w:space="0"/>
              <w:bottom w:val="single" w:color="auto" w:sz="4" w:space="0"/>
              <w:right w:val="single" w:color="auto" w:sz="4" w:space="0"/>
            </w:tcBorders>
            <w:vAlign w:val="center"/>
          </w:tcPr>
          <w:p w14:paraId="6CDD561E">
            <w:pPr>
              <w:ind w:right="113"/>
              <w:jc w:val="center"/>
              <w:rPr>
                <w:sz w:val="21"/>
                <w:szCs w:val="21"/>
              </w:rPr>
            </w:pPr>
            <w:r>
              <w:rPr>
                <w:rFonts w:hint="eastAsia"/>
                <w:sz w:val="21"/>
                <w:szCs w:val="21"/>
              </w:rPr>
              <w:t>20分</w:t>
            </w:r>
          </w:p>
        </w:tc>
        <w:tc>
          <w:tcPr>
            <w:tcW w:w="3572" w:type="dxa"/>
            <w:tcBorders>
              <w:top w:val="single" w:color="auto" w:sz="4" w:space="0"/>
              <w:left w:val="single" w:color="auto" w:sz="4" w:space="0"/>
              <w:bottom w:val="single" w:color="auto" w:sz="4" w:space="0"/>
              <w:right w:val="single" w:color="auto" w:sz="4" w:space="0"/>
            </w:tcBorders>
            <w:vAlign w:val="center"/>
          </w:tcPr>
          <w:p w14:paraId="023DABB9">
            <w:pPr>
              <w:ind w:right="113"/>
              <w:rPr>
                <w:sz w:val="21"/>
                <w:szCs w:val="21"/>
              </w:rPr>
            </w:pPr>
            <w:r>
              <w:rPr>
                <w:rFonts w:hint="eastAsia"/>
                <w:sz w:val="21"/>
                <w:szCs w:val="21"/>
              </w:rPr>
              <w:t>满足资格审查条件，得12分；</w:t>
            </w:r>
          </w:p>
          <w:p w14:paraId="12F17E33">
            <w:pPr>
              <w:rPr>
                <w:sz w:val="21"/>
                <w:szCs w:val="21"/>
              </w:rPr>
            </w:pPr>
            <w:r>
              <w:rPr>
                <w:rFonts w:hint="eastAsia"/>
                <w:sz w:val="21"/>
                <w:szCs w:val="21"/>
              </w:rPr>
              <w:t>每增加1个满足资格审查要求的业绩加4分，最多加8分。</w:t>
            </w:r>
          </w:p>
        </w:tc>
        <w:tc>
          <w:tcPr>
            <w:tcW w:w="1212" w:type="dxa"/>
            <w:tcBorders>
              <w:top w:val="single" w:color="auto" w:sz="4" w:space="0"/>
              <w:left w:val="single" w:color="auto" w:sz="4" w:space="0"/>
              <w:bottom w:val="single" w:color="auto" w:sz="4" w:space="0"/>
              <w:right w:val="single" w:color="auto" w:sz="4" w:space="0"/>
            </w:tcBorders>
            <w:vAlign w:val="center"/>
          </w:tcPr>
          <w:p w14:paraId="55832187">
            <w:pPr>
              <w:jc w:val="center"/>
              <w:rPr>
                <w:sz w:val="21"/>
                <w:szCs w:val="21"/>
              </w:rPr>
            </w:pPr>
            <w:r>
              <w:rPr>
                <w:rFonts w:hint="eastAsia"/>
                <w:sz w:val="21"/>
                <w:szCs w:val="21"/>
              </w:rPr>
              <w:t>20分</w:t>
            </w:r>
          </w:p>
        </w:tc>
      </w:tr>
      <w:tr w14:paraId="361DED42">
        <w:tblPrEx>
          <w:tblCellMar>
            <w:top w:w="0" w:type="dxa"/>
            <w:left w:w="108" w:type="dxa"/>
            <w:bottom w:w="0" w:type="dxa"/>
            <w:right w:w="108" w:type="dxa"/>
          </w:tblCellMar>
        </w:tblPrEx>
        <w:trPr>
          <w:trHeight w:val="1081" w:hRule="atLeast"/>
          <w:jc w:val="center"/>
        </w:trPr>
        <w:tc>
          <w:tcPr>
            <w:tcW w:w="9854" w:type="dxa"/>
            <w:gridSpan w:val="6"/>
            <w:tcBorders>
              <w:top w:val="single" w:color="auto" w:sz="4" w:space="0"/>
              <w:left w:val="single" w:color="auto" w:sz="4" w:space="0"/>
              <w:bottom w:val="single" w:color="auto" w:sz="4" w:space="0"/>
              <w:right w:val="single" w:color="auto" w:sz="4" w:space="0"/>
            </w:tcBorders>
            <w:vAlign w:val="center"/>
          </w:tcPr>
          <w:p w14:paraId="710CC1D0">
            <w:pPr>
              <w:pStyle w:val="52"/>
              <w:rPr>
                <w:rFonts w:hint="eastAsia"/>
                <w:spacing w:val="-2"/>
                <w:sz w:val="21"/>
              </w:rPr>
            </w:pPr>
            <w:r>
              <w:rPr>
                <w:rFonts w:hint="eastAsia"/>
                <w:spacing w:val="-2"/>
                <w:sz w:val="21"/>
              </w:rPr>
              <w:t>注：1、</w:t>
            </w:r>
            <w:r>
              <w:rPr>
                <w:sz w:val="21"/>
                <w:szCs w:val="21"/>
              </w:rPr>
              <w:t>施工组织设计</w:t>
            </w:r>
            <w:r>
              <w:rPr>
                <w:rFonts w:hint="eastAsia"/>
                <w:spacing w:val="-2"/>
                <w:sz w:val="21"/>
              </w:rPr>
              <w:t>评</w:t>
            </w:r>
            <w:r>
              <w:rPr>
                <w:rFonts w:hint="eastAsia"/>
                <w:spacing w:val="-2"/>
                <w:sz w:val="21"/>
                <w:lang w:val="en-US"/>
              </w:rPr>
              <w:t>分因素细项</w:t>
            </w:r>
            <w:r>
              <w:rPr>
                <w:rFonts w:hint="eastAsia"/>
                <w:spacing w:val="-2"/>
                <w:sz w:val="21"/>
              </w:rPr>
              <w:t>缺项，</w:t>
            </w:r>
            <w:r>
              <w:rPr>
                <w:rFonts w:hint="eastAsia"/>
                <w:spacing w:val="-2"/>
                <w:sz w:val="21"/>
                <w:lang w:val="en-US"/>
              </w:rPr>
              <w:t>则该项</w:t>
            </w:r>
            <w:r>
              <w:rPr>
                <w:rFonts w:hint="eastAsia"/>
                <w:spacing w:val="-2"/>
                <w:sz w:val="21"/>
              </w:rPr>
              <w:t>得</w:t>
            </w:r>
            <w:r>
              <w:rPr>
                <w:spacing w:val="-2"/>
                <w:sz w:val="21"/>
              </w:rPr>
              <w:t>0</w:t>
            </w:r>
            <w:r>
              <w:rPr>
                <w:rFonts w:hint="eastAsia"/>
                <w:spacing w:val="-2"/>
                <w:sz w:val="21"/>
              </w:rPr>
              <w:t>分。</w:t>
            </w:r>
          </w:p>
          <w:p w14:paraId="11744F96">
            <w:pPr>
              <w:rPr>
                <w:sz w:val="21"/>
                <w:szCs w:val="21"/>
              </w:rPr>
            </w:pPr>
            <w:r>
              <w:rPr>
                <w:rFonts w:hint="eastAsia"/>
                <w:spacing w:val="-2"/>
                <w:sz w:val="21"/>
              </w:rPr>
              <w:t>2、评委打分保留小数点后1位小数，</w:t>
            </w:r>
            <w:r>
              <w:rPr>
                <w:rFonts w:hint="eastAsia"/>
                <w:sz w:val="21"/>
                <w:szCs w:val="21"/>
              </w:rPr>
              <w:t>投标人总得分为各评委得分的算术平均值（四舍五入保留两位小数）。</w:t>
            </w:r>
          </w:p>
        </w:tc>
      </w:tr>
      <w:bookmarkEnd w:id="4"/>
    </w:tbl>
    <w:p w14:paraId="58D00D3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9B4"/>
    <w:rsid w:val="00024667"/>
    <w:rsid w:val="00177F0B"/>
    <w:rsid w:val="005E5637"/>
    <w:rsid w:val="00732148"/>
    <w:rsid w:val="00AB1037"/>
    <w:rsid w:val="00C979B4"/>
    <w:rsid w:val="00CB11DC"/>
    <w:rsid w:val="549D0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8"/>
      <w:sz w:val="28"/>
      <w:szCs w:val="20"/>
      <w:lang w:val="en-US" w:eastAsia="zh-CN" w:bidi="ar-SA"/>
      <w14:ligatures w14:val="none"/>
    </w:rPr>
  </w:style>
  <w:style w:type="paragraph" w:styleId="2">
    <w:name w:val="heading 1"/>
    <w:basedOn w:val="1"/>
    <w:next w:val="1"/>
    <w:link w:val="23"/>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kern w:val="2"/>
      <w:sz w:val="48"/>
      <w:szCs w:val="48"/>
      <w14:ligatures w14:val="standardContextual"/>
    </w:rPr>
  </w:style>
  <w:style w:type="paragraph" w:styleId="3">
    <w:name w:val="heading 2"/>
    <w:basedOn w:val="1"/>
    <w:next w:val="1"/>
    <w:link w:val="24"/>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kern w:val="2"/>
      <w:sz w:val="40"/>
      <w:szCs w:val="40"/>
      <w14:ligatures w14:val="standardContextual"/>
    </w:rPr>
  </w:style>
  <w:style w:type="paragraph" w:styleId="4">
    <w:name w:val="heading 3"/>
    <w:basedOn w:val="1"/>
    <w:next w:val="1"/>
    <w:link w:val="25"/>
    <w:unhideWhenUsed/>
    <w:qFormat/>
    <w:uiPriority w:val="0"/>
    <w:pPr>
      <w:keepNext/>
      <w:keepLines/>
      <w:spacing w:before="160" w:after="80" w:line="278" w:lineRule="auto"/>
      <w:jc w:val="left"/>
      <w:outlineLvl w:val="2"/>
    </w:pPr>
    <w:rPr>
      <w:rFonts w:asciiTheme="majorHAnsi" w:hAnsiTheme="majorHAnsi" w:eastAsiaTheme="majorEastAsia" w:cstheme="majorBidi"/>
      <w:color w:val="104862" w:themeColor="accent1" w:themeShade="BF"/>
      <w:kern w:val="2"/>
      <w:sz w:val="32"/>
      <w:szCs w:val="32"/>
      <w14:ligatures w14:val="standardContextual"/>
    </w:rPr>
  </w:style>
  <w:style w:type="paragraph" w:styleId="5">
    <w:name w:val="heading 4"/>
    <w:basedOn w:val="1"/>
    <w:next w:val="1"/>
    <w:link w:val="26"/>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kern w:val="2"/>
      <w:szCs w:val="28"/>
      <w14:ligatures w14:val="standardContextual"/>
    </w:rPr>
  </w:style>
  <w:style w:type="paragraph" w:styleId="6">
    <w:name w:val="heading 5"/>
    <w:basedOn w:val="1"/>
    <w:next w:val="1"/>
    <w:link w:val="27"/>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kern w:val="2"/>
      <w:sz w:val="24"/>
      <w:szCs w:val="24"/>
      <w14:ligatures w14:val="standardContextual"/>
    </w:rPr>
  </w:style>
  <w:style w:type="paragraph" w:styleId="7">
    <w:name w:val="heading 6"/>
    <w:basedOn w:val="1"/>
    <w:next w:val="1"/>
    <w:link w:val="28"/>
    <w:unhideWhenUsed/>
    <w:qFormat/>
    <w:uiPriority w:val="0"/>
    <w:pPr>
      <w:keepNext/>
      <w:keepLines/>
      <w:spacing w:before="40" w:line="278" w:lineRule="auto"/>
      <w:jc w:val="left"/>
      <w:outlineLvl w:val="5"/>
    </w:pPr>
    <w:rPr>
      <w:rFonts w:asciiTheme="minorHAnsi" w:hAnsiTheme="minorHAnsi" w:eastAsiaTheme="minorEastAsia" w:cstheme="majorBidi"/>
      <w:b/>
      <w:bCs/>
      <w:color w:val="104862" w:themeColor="accent1" w:themeShade="BF"/>
      <w:kern w:val="2"/>
      <w:sz w:val="22"/>
      <w:szCs w:val="24"/>
      <w14:ligatures w14:val="standardContextual"/>
    </w:rPr>
  </w:style>
  <w:style w:type="paragraph" w:styleId="8">
    <w:name w:val="heading 7"/>
    <w:basedOn w:val="1"/>
    <w:next w:val="1"/>
    <w:link w:val="29"/>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0"/>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31"/>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default="1" w:styleId="20">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Body Text"/>
    <w:basedOn w:val="1"/>
    <w:link w:val="49"/>
    <w:qFormat/>
    <w:uiPriority w:val="0"/>
    <w:rPr>
      <w:kern w:val="2"/>
      <w:szCs w:val="24"/>
    </w:rPr>
  </w:style>
  <w:style w:type="paragraph" w:styleId="12">
    <w:name w:val="Body Text Indent"/>
    <w:basedOn w:val="1"/>
    <w:link w:val="45"/>
    <w:semiHidden/>
    <w:unhideWhenUsed/>
    <w:uiPriority w:val="99"/>
    <w:pPr>
      <w:spacing w:after="120"/>
      <w:ind w:left="420" w:leftChars="200"/>
    </w:pPr>
  </w:style>
  <w:style w:type="paragraph" w:styleId="13">
    <w:name w:val="Plain Text"/>
    <w:basedOn w:val="1"/>
    <w:link w:val="50"/>
    <w:qFormat/>
    <w:uiPriority w:val="0"/>
    <w:rPr>
      <w:rFonts w:ascii="宋体" w:hAnsi="Courier New"/>
      <w:kern w:val="2"/>
      <w:sz w:val="21"/>
    </w:rPr>
  </w:style>
  <w:style w:type="paragraph" w:styleId="14">
    <w:name w:val="footer"/>
    <w:basedOn w:val="1"/>
    <w:link w:val="42"/>
    <w:unhideWhenUsed/>
    <w:uiPriority w:val="99"/>
    <w:pPr>
      <w:tabs>
        <w:tab w:val="center" w:pos="4153"/>
        <w:tab w:val="right" w:pos="8306"/>
      </w:tabs>
      <w:snapToGrid w:val="0"/>
      <w:spacing w:after="160"/>
      <w:jc w:val="left"/>
    </w:pPr>
    <w:rPr>
      <w:rFonts w:asciiTheme="minorHAnsi" w:hAnsiTheme="minorHAnsi" w:eastAsiaTheme="minorEastAsia" w:cstheme="minorBidi"/>
      <w:kern w:val="2"/>
      <w:sz w:val="18"/>
      <w:szCs w:val="18"/>
      <w14:ligatures w14:val="standardContextual"/>
    </w:rPr>
  </w:style>
  <w:style w:type="paragraph" w:styleId="15">
    <w:name w:val="header"/>
    <w:basedOn w:val="1"/>
    <w:link w:val="41"/>
    <w:unhideWhenUsed/>
    <w:uiPriority w:val="99"/>
    <w:pPr>
      <w:tabs>
        <w:tab w:val="center" w:pos="4153"/>
        <w:tab w:val="right" w:pos="8306"/>
      </w:tabs>
      <w:snapToGrid w:val="0"/>
      <w:spacing w:after="160"/>
      <w:jc w:val="center"/>
    </w:pPr>
    <w:rPr>
      <w:rFonts w:asciiTheme="minorHAnsi" w:hAnsiTheme="minorHAnsi" w:eastAsiaTheme="minorEastAsia" w:cstheme="minorBidi"/>
      <w:kern w:val="2"/>
      <w:sz w:val="18"/>
      <w:szCs w:val="18"/>
      <w14:ligatures w14:val="standardContextual"/>
    </w:rPr>
  </w:style>
  <w:style w:type="paragraph" w:styleId="16">
    <w:name w:val="Subtitle"/>
    <w:basedOn w:val="1"/>
    <w:next w:val="1"/>
    <w:link w:val="33"/>
    <w:qFormat/>
    <w:uiPriority w:val="11"/>
    <w:pPr>
      <w:spacing w:after="160" w:line="278" w:lineRule="auto"/>
      <w:jc w:val="center"/>
    </w:pPr>
    <w:rPr>
      <w:rFonts w:asciiTheme="majorHAnsi" w:hAnsiTheme="majorHAnsi" w:eastAsiaTheme="majorEastAsia" w:cstheme="majorBidi"/>
      <w:color w:val="595959" w:themeColor="text1" w:themeTint="A6"/>
      <w:spacing w:val="15"/>
      <w:kern w:val="2"/>
      <w:szCs w:val="28"/>
      <w14:textFill>
        <w14:solidFill>
          <w14:schemeClr w14:val="tx1">
            <w14:lumMod w14:val="65000"/>
            <w14:lumOff w14:val="35000"/>
          </w14:schemeClr>
        </w14:solidFill>
      </w14:textFill>
      <w14:ligatures w14:val="standardContextual"/>
    </w:rPr>
  </w:style>
  <w:style w:type="paragraph" w:styleId="17">
    <w:name w:val="Title"/>
    <w:basedOn w:val="1"/>
    <w:next w:val="1"/>
    <w:link w:val="32"/>
    <w:qFormat/>
    <w:uiPriority w:val="10"/>
    <w:pPr>
      <w:spacing w:after="80"/>
      <w:contextualSpacing/>
      <w:jc w:val="center"/>
    </w:pPr>
    <w:rPr>
      <w:rFonts w:asciiTheme="majorHAnsi" w:hAnsiTheme="majorHAnsi" w:eastAsiaTheme="majorEastAsia" w:cstheme="majorBidi"/>
      <w:spacing w:val="-10"/>
      <w:sz w:val="56"/>
      <w:szCs w:val="56"/>
      <w14:ligatures w14:val="standardContextual"/>
    </w:rPr>
  </w:style>
  <w:style w:type="paragraph" w:styleId="18">
    <w:name w:val="Body Text First Indent 2"/>
    <w:basedOn w:val="12"/>
    <w:next w:val="1"/>
    <w:link w:val="46"/>
    <w:qFormat/>
    <w:uiPriority w:val="0"/>
    <w:pPr>
      <w:ind w:firstLine="420" w:firstLineChars="200"/>
    </w:pPr>
    <w:rPr>
      <w:rFonts w:ascii="宋体" w:hAnsi="宋体"/>
      <w:kern w:val="2"/>
      <w:sz w:val="21"/>
      <w:szCs w:val="24"/>
    </w:rPr>
  </w:style>
  <w:style w:type="character" w:styleId="21">
    <w:name w:val="Strong"/>
    <w:basedOn w:val="20"/>
    <w:qFormat/>
    <w:uiPriority w:val="0"/>
    <w:rPr>
      <w:b/>
      <w:bCs/>
    </w:rPr>
  </w:style>
  <w:style w:type="character" w:styleId="22">
    <w:name w:val="Hyperlink"/>
    <w:qFormat/>
    <w:uiPriority w:val="0"/>
    <w:rPr>
      <w:color w:val="333333"/>
      <w:u w:val="none"/>
    </w:rPr>
  </w:style>
  <w:style w:type="character" w:customStyle="1" w:styleId="23">
    <w:name w:val="标题 1 字符"/>
    <w:basedOn w:val="20"/>
    <w:link w:val="2"/>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0"/>
    <w:link w:val="5"/>
    <w:semiHidden/>
    <w:uiPriority w:val="9"/>
    <w:rPr>
      <w:rFonts w:cstheme="majorBidi"/>
      <w:color w:val="104862" w:themeColor="accent1" w:themeShade="BF"/>
      <w:sz w:val="28"/>
      <w:szCs w:val="28"/>
    </w:rPr>
  </w:style>
  <w:style w:type="character" w:customStyle="1" w:styleId="27">
    <w:name w:val="标题 5 字符"/>
    <w:basedOn w:val="20"/>
    <w:link w:val="6"/>
    <w:semiHidden/>
    <w:uiPriority w:val="9"/>
    <w:rPr>
      <w:rFonts w:cstheme="majorBidi"/>
      <w:color w:val="104862" w:themeColor="accent1" w:themeShade="BF"/>
      <w:sz w:val="24"/>
    </w:rPr>
  </w:style>
  <w:style w:type="character" w:customStyle="1" w:styleId="28">
    <w:name w:val="标题 6 字符"/>
    <w:basedOn w:val="20"/>
    <w:link w:val="7"/>
    <w:semiHidden/>
    <w:qFormat/>
    <w:uiPriority w:val="9"/>
    <w:rPr>
      <w:rFonts w:cstheme="majorBidi"/>
      <w:b/>
      <w:bCs/>
      <w:color w:val="104862" w:themeColor="accent1" w:themeShade="BF"/>
    </w:rPr>
  </w:style>
  <w:style w:type="character" w:customStyle="1" w:styleId="29">
    <w:name w:val="标题 7 字符"/>
    <w:basedOn w:val="20"/>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7"/>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line="278" w:lineRule="auto"/>
      <w:jc w:val="center"/>
    </w:pPr>
    <w:rPr>
      <w:rFonts w:asciiTheme="minorHAnsi" w:hAnsiTheme="minorHAnsi" w:eastAsiaTheme="minorEastAsia" w:cstheme="minorBidi"/>
      <w:i/>
      <w:iCs/>
      <w:color w:val="404040" w:themeColor="text1" w:themeTint="BF"/>
      <w:kern w:val="2"/>
      <w:sz w:val="22"/>
      <w:szCs w:val="24"/>
      <w14:textFill>
        <w14:solidFill>
          <w14:schemeClr w14:val="tx1">
            <w14:lumMod w14:val="75000"/>
            <w14:lumOff w14:val="25000"/>
          </w14:schemeClr>
        </w14:solidFill>
      </w14:textFill>
      <w14:ligatures w14:val="standardContextual"/>
    </w:rPr>
  </w:style>
  <w:style w:type="character" w:customStyle="1" w:styleId="35">
    <w:name w:val="引用 字符"/>
    <w:basedOn w:val="20"/>
    <w:link w:val="34"/>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spacing w:after="160" w:line="278" w:lineRule="auto"/>
      <w:ind w:left="720"/>
      <w:contextualSpacing/>
      <w:jc w:val="left"/>
    </w:pPr>
    <w:rPr>
      <w:rFonts w:asciiTheme="minorHAnsi" w:hAnsiTheme="minorHAnsi" w:eastAsiaTheme="minorEastAsia" w:cstheme="minorBidi"/>
      <w:kern w:val="2"/>
      <w:sz w:val="22"/>
      <w:szCs w:val="24"/>
      <w14:ligatures w14:val="standardContextual"/>
    </w:rPr>
  </w:style>
  <w:style w:type="character" w:customStyle="1" w:styleId="37">
    <w:name w:val="Intense Emphasis"/>
    <w:basedOn w:val="20"/>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kern w:val="2"/>
      <w:sz w:val="22"/>
      <w:szCs w:val="24"/>
      <w14:ligatures w14:val="standardContextual"/>
    </w:rPr>
  </w:style>
  <w:style w:type="character" w:customStyle="1" w:styleId="39">
    <w:name w:val="明显引用 字符"/>
    <w:basedOn w:val="20"/>
    <w:link w:val="38"/>
    <w:uiPriority w:val="30"/>
    <w:rPr>
      <w:i/>
      <w:iCs/>
      <w:color w:val="104862" w:themeColor="accent1" w:themeShade="BF"/>
    </w:rPr>
  </w:style>
  <w:style w:type="character" w:customStyle="1" w:styleId="40">
    <w:name w:val="Intense Reference"/>
    <w:basedOn w:val="20"/>
    <w:qFormat/>
    <w:uiPriority w:val="32"/>
    <w:rPr>
      <w:b/>
      <w:bCs/>
      <w:smallCaps/>
      <w:color w:val="104862" w:themeColor="accent1" w:themeShade="BF"/>
      <w:spacing w:val="5"/>
    </w:rPr>
  </w:style>
  <w:style w:type="character" w:customStyle="1" w:styleId="41">
    <w:name w:val="页眉 字符"/>
    <w:basedOn w:val="20"/>
    <w:link w:val="15"/>
    <w:uiPriority w:val="99"/>
    <w:rPr>
      <w:sz w:val="18"/>
      <w:szCs w:val="18"/>
    </w:rPr>
  </w:style>
  <w:style w:type="character" w:customStyle="1" w:styleId="42">
    <w:name w:val="页脚 字符"/>
    <w:basedOn w:val="20"/>
    <w:link w:val="14"/>
    <w:uiPriority w:val="99"/>
    <w:rPr>
      <w:sz w:val="18"/>
      <w:szCs w:val="18"/>
    </w:rPr>
  </w:style>
  <w:style w:type="character" w:customStyle="1" w:styleId="43">
    <w:name w:val="正文文本 字符"/>
    <w:basedOn w:val="20"/>
    <w:semiHidden/>
    <w:uiPriority w:val="99"/>
    <w:rPr>
      <w:rFonts w:ascii="Times New Roman" w:hAnsi="Times New Roman" w:eastAsia="宋体" w:cs="Times New Roman"/>
      <w:kern w:val="28"/>
      <w:sz w:val="28"/>
      <w:szCs w:val="20"/>
      <w14:ligatures w14:val="none"/>
    </w:rPr>
  </w:style>
  <w:style w:type="character" w:customStyle="1" w:styleId="44">
    <w:name w:val="纯文本 字符"/>
    <w:basedOn w:val="20"/>
    <w:semiHidden/>
    <w:uiPriority w:val="99"/>
    <w:rPr>
      <w:rFonts w:hAnsi="Courier New" w:cs="Courier New" w:asciiTheme="minorEastAsia"/>
      <w:kern w:val="28"/>
      <w:sz w:val="28"/>
      <w:szCs w:val="20"/>
      <w14:ligatures w14:val="none"/>
    </w:rPr>
  </w:style>
  <w:style w:type="character" w:customStyle="1" w:styleId="45">
    <w:name w:val="正文文本缩进 字符"/>
    <w:basedOn w:val="20"/>
    <w:link w:val="12"/>
    <w:semiHidden/>
    <w:uiPriority w:val="99"/>
    <w:rPr>
      <w:rFonts w:ascii="Times New Roman" w:hAnsi="Times New Roman" w:eastAsia="宋体" w:cs="Times New Roman"/>
      <w:kern w:val="28"/>
      <w:sz w:val="28"/>
      <w:szCs w:val="20"/>
      <w14:ligatures w14:val="none"/>
    </w:rPr>
  </w:style>
  <w:style w:type="character" w:customStyle="1" w:styleId="46">
    <w:name w:val="正文文本首行缩进 2 字符"/>
    <w:basedOn w:val="45"/>
    <w:link w:val="18"/>
    <w:qFormat/>
    <w:uiPriority w:val="0"/>
    <w:rPr>
      <w:rFonts w:ascii="宋体" w:hAnsi="宋体" w:eastAsia="宋体" w:cs="Times New Roman"/>
      <w:kern w:val="28"/>
      <w:sz w:val="21"/>
      <w:szCs w:val="20"/>
      <w14:ligatures w14:val="none"/>
    </w:rPr>
  </w:style>
  <w:style w:type="character" w:customStyle="1" w:styleId="47">
    <w:name w:val="标题 3 字符2"/>
    <w:qFormat/>
    <w:uiPriority w:val="0"/>
    <w:rPr>
      <w:b/>
      <w:bCs/>
      <w:kern w:val="28"/>
      <w:sz w:val="32"/>
      <w:szCs w:val="32"/>
    </w:rPr>
  </w:style>
  <w:style w:type="character" w:customStyle="1" w:styleId="48">
    <w:name w:val="标题 6 字符2"/>
    <w:qFormat/>
    <w:uiPriority w:val="0"/>
    <w:rPr>
      <w:rFonts w:ascii="Arial" w:hAnsi="Arial" w:eastAsia="黑体"/>
      <w:b/>
      <w:bCs/>
      <w:kern w:val="2"/>
      <w:sz w:val="24"/>
      <w:szCs w:val="24"/>
    </w:rPr>
  </w:style>
  <w:style w:type="character" w:customStyle="1" w:styleId="49">
    <w:name w:val="正文文本 字符1"/>
    <w:link w:val="11"/>
    <w:qFormat/>
    <w:uiPriority w:val="0"/>
    <w:rPr>
      <w:rFonts w:ascii="Times New Roman" w:hAnsi="Times New Roman" w:eastAsia="宋体" w:cs="Times New Roman"/>
      <w:sz w:val="28"/>
      <w14:ligatures w14:val="none"/>
    </w:rPr>
  </w:style>
  <w:style w:type="character" w:customStyle="1" w:styleId="50">
    <w:name w:val="纯文本 字符1"/>
    <w:link w:val="13"/>
    <w:qFormat/>
    <w:uiPriority w:val="0"/>
    <w:rPr>
      <w:rFonts w:ascii="宋体" w:hAnsi="Courier New" w:eastAsia="宋体" w:cs="Times New Roman"/>
      <w:sz w:val="21"/>
      <w:szCs w:val="20"/>
      <w14:ligatures w14:val="none"/>
    </w:rPr>
  </w:style>
  <w:style w:type="character" w:customStyle="1" w:styleId="51">
    <w:name w:val="正文文本 (2) + Times New Roman"/>
    <w:qFormat/>
    <w:uiPriority w:val="0"/>
    <w:rPr>
      <w:rFonts w:ascii="Times New Roman" w:hAnsi="Times New Roman" w:eastAsia="Times New Roman" w:cs="Times New Roman"/>
      <w:color w:val="000000"/>
      <w:spacing w:val="0"/>
      <w:w w:val="100"/>
      <w:position w:val="0"/>
      <w:sz w:val="18"/>
      <w:szCs w:val="18"/>
      <w:u w:val="none"/>
      <w:shd w:val="clear" w:color="auto" w:fill="FFFFFF"/>
      <w:lang w:val="zh-CN" w:eastAsia="zh-CN" w:bidi="zh-CN"/>
    </w:rPr>
  </w:style>
  <w:style w:type="paragraph" w:customStyle="1" w:styleId="52">
    <w:name w:val="Table Paragraph"/>
    <w:basedOn w:val="1"/>
    <w:qFormat/>
    <w:uiPriority w:val="1"/>
    <w:pPr>
      <w:autoSpaceDE w:val="0"/>
      <w:autoSpaceDN w:val="0"/>
      <w:jc w:val="left"/>
    </w:pPr>
    <w:rPr>
      <w:rFonts w:ascii="宋体" w:hAnsi="宋体" w:cs="宋体"/>
      <w:kern w:val="0"/>
      <w:sz w:val="22"/>
      <w:szCs w:val="22"/>
      <w:lang w:val="zh-CN" w:bidi="zh-CN"/>
    </w:rPr>
  </w:style>
  <w:style w:type="character" w:customStyle="1" w:styleId="53">
    <w:name w:val="正文文本 字符3"/>
    <w:qFormat/>
    <w:uiPriority w:val="99"/>
    <w:rPr>
      <w:kern w:val="2"/>
      <w:sz w:val="28"/>
      <w:szCs w:val="24"/>
    </w:rPr>
  </w:style>
  <w:style w:type="character" w:customStyle="1" w:styleId="54">
    <w:name w:val="纯文本 字符3"/>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Pages>
  <Words>4375</Words>
  <Characters>4969</Characters>
  <Lines>70</Lines>
  <Paragraphs>19</Paragraphs>
  <TotalTime>1</TotalTime>
  <ScaleCrop>false</ScaleCrop>
  <LinksUpToDate>false</LinksUpToDate>
  <CharactersWithSpaces>5019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2026-08-20T05:08:00Z</dcterms:created>
  <dc:creator>honru Liang</dc:creator>
  <cp:lastModifiedBy>冯士峰</cp:lastModifiedBy>
  <cp:lastPrinted>2026-08-20T05:10:00Z</cp:lastPrinted>
  <dcterms:modified xsi:type="dcterms:W3CDTF">2026-08-21T06:47:27Z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eyJoZGlkIjoiMjNhMGNiNzBmYzRmYmU1YWU1ZDVjYzI3MTI0YTIzZjQiLCJ1c2VySWQiOiIxNjg3ODQzOTczIn0=</vt:lpwstr>
  </property>
  <property fmtid="{D5CDD505-2E9C-101B-9397-08002B2CF9AE}" pid="3" name="KSOProductBuildVer">
    <vt:lpwstr>2052-12.1.0.28043</vt:lpwstr>
  </property>
  <property fmtid="{D5CDD505-2E9C-101B-9397-08002B2CF9AE}" pid="4" name="ICV">
    <vt:lpwstr>F2552A5A0EB9461EACC7CEE9911A1D03_12</vt:lpwstr>
  </property>
</Properties>
</file>